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E03F02">
      <w:pPr>
        <w:spacing w:line="300" w:lineRule="auto"/>
        <w:rPr>
          <w:rFonts w:ascii="Arial" w:hAnsi="宋体" w:cs="Arial"/>
          <w:b/>
          <w:bCs/>
          <w:sz w:val="30"/>
        </w:rPr>
      </w:pPr>
      <w:r>
        <w:rPr>
          <w:rFonts w:ascii="Arial" w:hAnsi="宋体" w:cs="Arial"/>
          <w:b/>
          <w:bCs/>
          <w:sz w:val="30"/>
        </w:rPr>
        <w:t>邀请函</w:t>
      </w:r>
      <w:r>
        <w:rPr>
          <w:rFonts w:ascii="Arial" w:hAnsi="Arial" w:cs="Arial"/>
          <w:sz w:val="20"/>
        </w:rPr>
        <w:drawing>
          <wp:anchor distT="0" distB="0" distL="114300" distR="114300" simplePos="0" relativeHeight="251663360" behindDoc="0" locked="0" layoutInCell="1" allowOverlap="0">
            <wp:simplePos x="0" y="0"/>
            <wp:positionH relativeFrom="column">
              <wp:posOffset>5436235</wp:posOffset>
            </wp:positionH>
            <wp:positionV relativeFrom="paragraph">
              <wp:posOffset>-647700</wp:posOffset>
            </wp:positionV>
            <wp:extent cx="685800" cy="567690"/>
            <wp:effectExtent l="0" t="0" r="0" b="3810"/>
            <wp:wrapNone/>
            <wp:docPr id="11" name="Picture 2"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Users\王永萍\Desktop\振威LOGO-03(1).jpg振威LOGO-03(1)"/>
                    <pic:cNvPicPr>
                      <a:picLocks noChangeAspect="1"/>
                    </pic:cNvPicPr>
                  </pic:nvPicPr>
                  <pic:blipFill>
                    <a:blip r:embed="rId4"/>
                    <a:srcRect/>
                    <a:stretch>
                      <a:fillRect/>
                    </a:stretch>
                  </pic:blipFill>
                  <pic:spPr>
                    <a:xfrm>
                      <a:off x="0" y="0"/>
                      <a:ext cx="685800" cy="567690"/>
                    </a:xfrm>
                    <a:prstGeom prst="rect">
                      <a:avLst/>
                    </a:prstGeom>
                    <a:noFill/>
                    <a:ln>
                      <a:noFill/>
                    </a:ln>
                  </pic:spPr>
                </pic:pic>
              </a:graphicData>
            </a:graphic>
          </wp:anchor>
        </w:drawing>
      </w:r>
    </w:p>
    <w:p w14:paraId="1266EF3F">
      <w:pPr>
        <w:spacing w:line="300" w:lineRule="auto"/>
        <w:rPr>
          <w:rFonts w:ascii="Arial" w:hAnsi="Arial" w:cs="Arial"/>
          <w:sz w:val="30"/>
        </w:rPr>
      </w:pPr>
      <w:r>
        <w:rPr>
          <w:rFonts w:ascii="Arial" w:hAnsi="Arial" w:cs="Arial"/>
          <w:sz w:val="30"/>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40005</wp:posOffset>
                </wp:positionV>
                <wp:extent cx="6076950" cy="600075"/>
                <wp:effectExtent l="6350" t="6350" r="31750" b="41275"/>
                <wp:wrapNone/>
                <wp:docPr id="3" name="自选图形 72"/>
                <wp:cNvGraphicFramePr/>
                <a:graphic xmlns:a="http://schemas.openxmlformats.org/drawingml/2006/main">
                  <a:graphicData uri="http://schemas.microsoft.com/office/word/2010/wordprocessingShape">
                    <wps:wsp>
                      <wps:cNvSpPr/>
                      <wps:spPr>
                        <a:xfrm>
                          <a:off x="0" y="0"/>
                          <a:ext cx="6076950" cy="600075"/>
                        </a:xfrm>
                        <a:prstGeom prst="horizontalScroll">
                          <a:avLst>
                            <a:gd name="adj" fmla="val 12500"/>
                          </a:avLst>
                        </a:prstGeom>
                        <a:gradFill rotWithShape="0">
                          <a:gsLst>
                            <a:gs pos="0">
                              <a:srgbClr val="FFFFFF"/>
                            </a:gs>
                            <a:gs pos="100000">
                              <a:srgbClr val="B6DDE8"/>
                            </a:gs>
                          </a:gsLst>
                          <a:lin ang="5400000" scaled="1"/>
                          <a:tileRect/>
                        </a:gradFill>
                        <a:ln w="12700" cap="flat" cmpd="sng">
                          <a:solidFill>
                            <a:srgbClr val="92CDDC"/>
                          </a:solidFill>
                          <a:prstDash val="solid"/>
                          <a:headEnd type="none" w="med" len="med"/>
                          <a:tailEnd type="none" w="med" len="med"/>
                        </a:ln>
                        <a:effectLst>
                          <a:outerShdw dist="28398" dir="3806096" algn="ctr" rotWithShape="0">
                            <a:srgbClr val="205867">
                              <a:alpha val="50000"/>
                            </a:srgbClr>
                          </a:outerShdw>
                        </a:effectLst>
                      </wps:spPr>
                      <wps:txbx>
                        <w:txbxContent>
                          <w:p w14:paraId="2C41C0C9">
                            <w:pPr>
                              <w:spacing w:line="360" w:lineRule="auto"/>
                            </w:pPr>
                            <w:r>
                              <w:rPr>
                                <w:rFonts w:ascii="Arial" w:hAnsi="Arial" w:cs="Arial"/>
                                <w:b/>
                                <w:bCs/>
                                <w:sz w:val="24"/>
                              </w:rPr>
                              <w:t>To</w:t>
                            </w:r>
                            <w:r>
                              <w:rPr>
                                <w:rFonts w:hint="eastAsia" w:ascii="Arial" w:hAnsi="宋体" w:cs="Arial"/>
                                <w:b/>
                                <w:bCs/>
                                <w:sz w:val="24"/>
                              </w:rPr>
                              <w:t xml:space="preserve">: </w:t>
                            </w:r>
                            <w:r>
                              <w:rPr>
                                <w:rFonts w:hint="eastAsia" w:ascii="Arial" w:hAnsi="宋体" w:cs="Arial"/>
                                <w:b/>
                                <w:bCs/>
                                <w:sz w:val="24"/>
                                <w:lang w:val="en-US" w:eastAsia="zh-CN"/>
                              </w:rPr>
                              <w:t>市场部经理/总经理</w:t>
                            </w:r>
                            <w:r>
                              <w:rPr>
                                <w:rFonts w:hint="eastAsia" w:ascii="Arial" w:hAnsi="宋体" w:cs="Arial"/>
                                <w:b/>
                                <w:bCs/>
                                <w:sz w:val="24"/>
                              </w:rPr>
                              <w:t xml:space="preserve">                         </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张昊13521920416</w:t>
                            </w:r>
                            <w:r>
                              <w:rPr>
                                <w:rFonts w:hint="eastAsia" w:ascii="Arial" w:hAnsi="宋体" w:cs="Arial"/>
                                <w:b/>
                                <w:bCs/>
                                <w:sz w:val="24"/>
                              </w:rPr>
                              <w:t xml:space="preserve"> </w:t>
                            </w:r>
                          </w:p>
                        </w:txbxContent>
                      </wps:txbx>
                      <wps:bodyPr upright="1"/>
                    </wps:wsp>
                  </a:graphicData>
                </a:graphic>
              </wp:anchor>
            </w:drawing>
          </mc:Choice>
          <mc:Fallback>
            <w:pict>
              <v:shape id="自选图形 72" o:spid="_x0000_s1026" o:spt="98" type="#_x0000_t98" style="position:absolute;left:0pt;margin-left:8.25pt;margin-top:3.15pt;height:47.25pt;width:478.5pt;z-index:251660288;mso-width-relative:page;mso-height-relative:page;" fillcolor="#FFFFFF" filled="t" stroked="t" coordsize="21600,21600" o:gfxdata="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bdrHUdUAAAAIAQAADwAAAAAAAAABACAA&#10;AAAiAAAAZHJzL2Rvd25yZXYueG1sUEsBAhQAFAAAAAgAh07iQFBuOwi7AgAAngUAAA4AAAAAAAAA&#10;AQAgAAAAJAEAAGRycy9lMm9Eb2MueG1sUEsFBgAAAAAGAAYAWQEAAFEGAAAAAA==&#10;" adj="2700">
                <v:fill type="gradient" on="t" color2="#B6DDE8" focus="100%" focussize="0,0"/>
                <v:stroke weight="1pt" color="#92CDDC" joinstyle="round"/>
                <v:imagedata o:title=""/>
                <o:lock v:ext="edit" aspectratio="f"/>
                <v:shadow on="t" color="#205867" opacity="32768f" offset="1pt,2pt" origin="0f,0f" matrix="65536f,0f,0f,65536f"/>
                <v:textbox>
                  <w:txbxContent>
                    <w:p w14:paraId="2C41C0C9">
                      <w:pPr>
                        <w:spacing w:line="360" w:lineRule="auto"/>
                      </w:pPr>
                      <w:r>
                        <w:rPr>
                          <w:rFonts w:ascii="Arial" w:hAnsi="Arial" w:cs="Arial"/>
                          <w:b/>
                          <w:bCs/>
                          <w:sz w:val="24"/>
                        </w:rPr>
                        <w:t>To</w:t>
                      </w:r>
                      <w:r>
                        <w:rPr>
                          <w:rFonts w:hint="eastAsia" w:ascii="Arial" w:hAnsi="宋体" w:cs="Arial"/>
                          <w:b/>
                          <w:bCs/>
                          <w:sz w:val="24"/>
                        </w:rPr>
                        <w:t xml:space="preserve">: </w:t>
                      </w:r>
                      <w:r>
                        <w:rPr>
                          <w:rFonts w:hint="eastAsia" w:ascii="Arial" w:hAnsi="宋体" w:cs="Arial"/>
                          <w:b/>
                          <w:bCs/>
                          <w:sz w:val="24"/>
                          <w:lang w:val="en-US" w:eastAsia="zh-CN"/>
                        </w:rPr>
                        <w:t>市场部经理/总经理</w:t>
                      </w:r>
                      <w:r>
                        <w:rPr>
                          <w:rFonts w:hint="eastAsia" w:ascii="Arial" w:hAnsi="宋体" w:cs="Arial"/>
                          <w:b/>
                          <w:bCs/>
                          <w:sz w:val="24"/>
                        </w:rPr>
                        <w:t xml:space="preserve">                         </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张昊13521920416</w:t>
                      </w:r>
                      <w:r>
                        <w:rPr>
                          <w:rFonts w:hint="eastAsia" w:ascii="Arial" w:hAnsi="宋体" w:cs="Arial"/>
                          <w:b/>
                          <w:bCs/>
                          <w:sz w:val="24"/>
                        </w:rPr>
                        <w:t xml:space="preserve"> </w:t>
                      </w:r>
                    </w:p>
                  </w:txbxContent>
                </v:textbox>
              </v:shape>
            </w:pict>
          </mc:Fallback>
        </mc:AlternateContent>
      </w:r>
    </w:p>
    <w:p w14:paraId="58A7BBB6">
      <w:pPr>
        <w:spacing w:line="240" w:lineRule="atLeast"/>
        <w:rPr>
          <w:rFonts w:ascii="Arial" w:hAnsi="Arial" w:cs="Arial"/>
          <w:sz w:val="28"/>
        </w:rPr>
      </w:pPr>
    </w:p>
    <w:p w14:paraId="276B80C0">
      <w:pPr>
        <w:spacing w:line="360" w:lineRule="auto"/>
        <w:jc w:val="center"/>
        <w:rPr>
          <w:rFonts w:ascii="宋体" w:hAnsi="宋体" w:cs="宋体"/>
          <w:sz w:val="24"/>
        </w:rPr>
      </w:pPr>
    </w:p>
    <w:p w14:paraId="585C1E0B">
      <w:pPr>
        <w:spacing w:line="360" w:lineRule="auto"/>
        <w:jc w:val="center"/>
        <w:rPr>
          <w:rFonts w:ascii="Arial" w:hAnsi="Arial" w:cs="Arial"/>
        </w:rPr>
      </w:pPr>
      <w:r>
        <w:rPr>
          <w:rFonts w:ascii="宋体" w:hAnsi="宋体" w:cs="宋体"/>
          <w:sz w:val="24"/>
        </w:rPr>
        <w:drawing>
          <wp:inline distT="0" distB="0" distL="114300" distR="114300">
            <wp:extent cx="3343910" cy="967105"/>
            <wp:effectExtent l="0" t="0" r="8890" b="444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5"/>
                    <a:stretch>
                      <a:fillRect/>
                    </a:stretch>
                  </pic:blipFill>
                  <pic:spPr>
                    <a:xfrm>
                      <a:off x="0" y="0"/>
                      <a:ext cx="3343910" cy="967105"/>
                    </a:xfrm>
                    <a:prstGeom prst="rect">
                      <a:avLst/>
                    </a:prstGeom>
                    <a:noFill/>
                    <a:ln w="9525">
                      <a:noFill/>
                    </a:ln>
                  </pic:spPr>
                </pic:pic>
              </a:graphicData>
            </a:graphic>
          </wp:inline>
        </w:drawing>
      </w:r>
    </w:p>
    <w:p w14:paraId="6EA83847">
      <w:pPr>
        <w:spacing w:line="200" w:lineRule="exact"/>
        <w:rPr>
          <w:rFonts w:ascii="Arial" w:hAnsi="Arial" w:cs="Arial"/>
        </w:rPr>
      </w:pPr>
    </w:p>
    <w:p w14:paraId="4C0A607C">
      <w:pPr>
        <w:pStyle w:val="4"/>
        <w:spacing w:line="360" w:lineRule="auto"/>
        <w:ind w:firstLine="0"/>
        <w:jc w:val="center"/>
        <w:rPr>
          <w:rFonts w:ascii="黑体" w:hAnsi="宋体" w:eastAsia="黑体" w:cs="Arial"/>
          <w:b/>
          <w:bCs/>
          <w:spacing w:val="20"/>
          <w:sz w:val="40"/>
          <w:szCs w:val="40"/>
        </w:rPr>
      </w:pPr>
      <w:r>
        <w:rPr>
          <w:rFonts w:hint="eastAsia" w:ascii="黑体" w:hAnsi="宋体" w:eastAsia="黑体" w:cs="Arial"/>
          <w:b/>
          <w:bCs/>
          <w:spacing w:val="20"/>
          <w:sz w:val="40"/>
          <w:szCs w:val="40"/>
        </w:rPr>
        <w:t>202</w:t>
      </w:r>
      <w:r>
        <w:rPr>
          <w:rFonts w:hint="eastAsia" w:ascii="黑体" w:hAnsi="宋体" w:eastAsia="黑体" w:cs="Arial"/>
          <w:b/>
          <w:bCs/>
          <w:spacing w:val="20"/>
          <w:sz w:val="40"/>
          <w:szCs w:val="40"/>
          <w:lang w:val="en-US" w:eastAsia="zh-CN"/>
        </w:rPr>
        <w:t>6</w:t>
      </w:r>
      <w:r>
        <w:rPr>
          <w:rFonts w:hint="eastAsia" w:ascii="黑体" w:hAnsi="宋体" w:eastAsia="黑体" w:cs="Arial"/>
          <w:b/>
          <w:bCs/>
          <w:spacing w:val="20"/>
          <w:sz w:val="40"/>
          <w:szCs w:val="40"/>
        </w:rPr>
        <w:t>成都国际石油石化技术装备展览会</w:t>
      </w:r>
    </w:p>
    <w:p w14:paraId="62EA3EAE">
      <w:pPr>
        <w:pStyle w:val="4"/>
        <w:spacing w:line="360" w:lineRule="auto"/>
        <w:ind w:firstLine="0"/>
        <w:jc w:val="center"/>
        <w:rPr>
          <w:rFonts w:ascii="Arial" w:hAnsi="Arial" w:eastAsia="宋体" w:cs="Arial"/>
        </w:rPr>
      </w:pPr>
      <w:r>
        <w:rPr>
          <w:rFonts w:hint="eastAsia" w:ascii="Arial" w:hAnsi="Arial" w:eastAsia="宋体" w:cs="Arial"/>
        </w:rPr>
        <w:t>202</w:t>
      </w:r>
      <w:r>
        <w:rPr>
          <w:rFonts w:hint="eastAsia" w:ascii="Arial" w:hAnsi="Arial" w:eastAsia="宋体" w:cs="Arial"/>
          <w:lang w:val="en-US" w:eastAsia="zh-CN"/>
        </w:rPr>
        <w:t xml:space="preserve">6 </w:t>
      </w:r>
      <w:r>
        <w:rPr>
          <w:rFonts w:hint="eastAsia" w:ascii="Arial" w:hAnsi="Arial" w:eastAsia="宋体" w:cs="Arial"/>
        </w:rPr>
        <w:t>Chengdu</w:t>
      </w:r>
      <w:r>
        <w:rPr>
          <w:rFonts w:hint="eastAsia" w:ascii="Arial" w:hAnsi="Arial" w:eastAsia="宋体" w:cs="Arial"/>
          <w:lang w:val="en-US" w:eastAsia="zh-CN"/>
        </w:rPr>
        <w:t xml:space="preserve"> </w:t>
      </w:r>
      <w:r>
        <w:rPr>
          <w:rFonts w:hint="eastAsia" w:ascii="Arial" w:hAnsi="Arial" w:eastAsia="宋体" w:cs="Arial"/>
        </w:rPr>
        <w:t>International Petroleum &amp; Petrochemical Technology and Equipment Exhibition</w:t>
      </w:r>
    </w:p>
    <w:p w14:paraId="1B171993">
      <w:pPr>
        <w:spacing w:line="320" w:lineRule="exact"/>
        <w:jc w:val="center"/>
        <w:rPr>
          <w:b/>
          <w:bCs/>
          <w:sz w:val="28"/>
          <w:szCs w:val="36"/>
        </w:rPr>
      </w:pPr>
      <w:r>
        <w:rPr>
          <w:rFonts w:ascii="Arial" w:hAnsi="Arial" w:cs="Arial"/>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81280</wp:posOffset>
                </wp:positionV>
                <wp:extent cx="6057900" cy="0"/>
                <wp:effectExtent l="0" t="0" r="0" b="0"/>
                <wp:wrapNone/>
                <wp:docPr id="5" name="Line 3"/>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6.3pt;margin-top:6.4pt;height:0pt;width:477pt;z-index:251661312;mso-width-relative:page;mso-height-relative:page;" filled="f" stroked="t" coordsize="21600,21600" o:gfxdata="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dvgATSAAAACAEAAA8AAAAAAAAAAQAgAAAAIgAAAGRy&#10;cy9kb3ducmV2LnhtbFBLAQIUABQAAAAIAIdO4kCf/ap60gEAAM0DAAAOAAAAAAAAAAEAIAAAACEB&#10;AABkcnMvZTJvRG9jLnhtbFBLBQYAAAAABgAGAFkBAABlBQAAAAA=&#10;">
                <v:fill on="f" focussize="0,0"/>
                <v:stroke color="#000000" joinstyle="round"/>
                <v:imagedata o:title=""/>
                <o:lock v:ext="edit" aspectratio="f"/>
              </v:line>
            </w:pict>
          </mc:Fallback>
        </mc:AlternateContent>
      </w:r>
    </w:p>
    <w:p w14:paraId="1C354E29">
      <w:pPr>
        <w:ind w:firstLine="1124" w:firstLineChars="400"/>
        <w:rPr>
          <w:b/>
          <w:bCs/>
          <w:sz w:val="28"/>
          <w:szCs w:val="36"/>
        </w:rPr>
      </w:pPr>
      <w:r>
        <w:rPr>
          <w:b/>
          <w:bCs/>
          <w:sz w:val="28"/>
          <w:szCs w:val="36"/>
        </w:rPr>
        <w:t>202</w:t>
      </w:r>
      <w:r>
        <w:rPr>
          <w:rFonts w:hint="eastAsia"/>
          <w:b/>
          <w:bCs/>
          <w:sz w:val="28"/>
          <w:szCs w:val="36"/>
          <w:lang w:val="en-US" w:eastAsia="zh-CN"/>
        </w:rPr>
        <w:t>6</w:t>
      </w:r>
      <w:r>
        <w:rPr>
          <w:b/>
          <w:bCs/>
          <w:sz w:val="28"/>
          <w:szCs w:val="36"/>
        </w:rPr>
        <w:t>年</w:t>
      </w:r>
      <w:r>
        <w:rPr>
          <w:rFonts w:hint="eastAsia"/>
          <w:b/>
          <w:bCs/>
          <w:sz w:val="28"/>
          <w:szCs w:val="36"/>
          <w:lang w:val="en-US" w:eastAsia="zh-CN"/>
        </w:rPr>
        <w:t>9</w:t>
      </w:r>
      <w:r>
        <w:rPr>
          <w:b/>
          <w:bCs/>
          <w:sz w:val="28"/>
          <w:szCs w:val="36"/>
        </w:rPr>
        <w:t>月</w:t>
      </w:r>
      <w:r>
        <w:rPr>
          <w:rFonts w:hint="eastAsia"/>
          <w:b/>
          <w:bCs/>
          <w:sz w:val="28"/>
          <w:szCs w:val="36"/>
          <w:lang w:val="en-US" w:eastAsia="zh-CN"/>
        </w:rPr>
        <w:t>21</w:t>
      </w:r>
      <w:r>
        <w:rPr>
          <w:b/>
          <w:bCs/>
          <w:sz w:val="28"/>
          <w:szCs w:val="36"/>
        </w:rPr>
        <w:t>日-</w:t>
      </w:r>
      <w:r>
        <w:rPr>
          <w:rFonts w:hint="eastAsia"/>
          <w:b/>
          <w:bCs/>
          <w:sz w:val="28"/>
          <w:szCs w:val="36"/>
          <w:lang w:val="en-US" w:eastAsia="zh-CN"/>
        </w:rPr>
        <w:t>23</w:t>
      </w:r>
      <w:r>
        <w:rPr>
          <w:b/>
          <w:bCs/>
          <w:sz w:val="28"/>
          <w:szCs w:val="36"/>
        </w:rPr>
        <w:t>日</w:t>
      </w:r>
      <w:r>
        <w:rPr>
          <w:rFonts w:hint="eastAsia"/>
          <w:b/>
          <w:bCs/>
          <w:sz w:val="28"/>
          <w:szCs w:val="36"/>
        </w:rPr>
        <w:t xml:space="preserve">       成都世纪城新国际会展中心</w:t>
      </w:r>
    </w:p>
    <w:p w14:paraId="7038AB77">
      <w:pPr>
        <w:spacing w:line="320" w:lineRule="exact"/>
        <w:rPr>
          <w:rFonts w:ascii="Arial" w:hAnsi="Arial" w:cs="Arial"/>
          <w:b/>
          <w:bCs/>
          <w:sz w:val="28"/>
        </w:rPr>
      </w:pPr>
    </w:p>
    <w:p w14:paraId="37333132">
      <w:pPr>
        <w:spacing w:line="440" w:lineRule="exact"/>
        <w:rPr>
          <w:rFonts w:asciiTheme="minorEastAsia" w:hAnsiTheme="minorEastAsia" w:eastAsiaTheme="minorEastAsia" w:cstheme="minorEastAsia"/>
          <w:b/>
          <w:bCs/>
          <w:spacing w:val="20"/>
          <w:szCs w:val="21"/>
        </w:rPr>
      </w:pPr>
    </w:p>
    <w:p w14:paraId="0F34D372">
      <w:pPr>
        <w:spacing w:line="360" w:lineRule="auto"/>
        <w:jc w:val="center"/>
        <w:rPr>
          <w:rFonts w:asciiTheme="minorEastAsia" w:hAnsiTheme="minorEastAsia" w:eastAsiaTheme="minorEastAsia" w:cstheme="minorEastAsia"/>
          <w:b/>
          <w:bCs/>
          <w:spacing w:val="20"/>
          <w:sz w:val="24"/>
        </w:rPr>
      </w:pPr>
      <w:r>
        <w:rPr>
          <w:rFonts w:hint="eastAsia" w:asciiTheme="minorEastAsia" w:hAnsiTheme="minorEastAsia" w:eastAsiaTheme="minorEastAsia" w:cstheme="minorEastAsia"/>
          <w:b/>
          <w:bCs/>
          <w:spacing w:val="20"/>
          <w:sz w:val="24"/>
        </w:rPr>
        <w:t>主办单位</w:t>
      </w:r>
    </w:p>
    <w:p w14:paraId="26BCF039">
      <w:pPr>
        <w:spacing w:line="360" w:lineRule="auto"/>
        <w:jc w:val="center"/>
        <w:rPr>
          <w:rFonts w:asciiTheme="minorEastAsia" w:hAnsiTheme="minorEastAsia" w:eastAsiaTheme="minorEastAsia" w:cstheme="minorEastAsia"/>
          <w:bCs/>
          <w:spacing w:val="20"/>
          <w:szCs w:val="21"/>
        </w:rPr>
      </w:pPr>
      <w:r>
        <w:rPr>
          <w:rFonts w:hint="eastAsia" w:asciiTheme="minorEastAsia" w:hAnsiTheme="minorEastAsia" w:eastAsiaTheme="minorEastAsia" w:cstheme="minorEastAsia"/>
          <w:bCs/>
          <w:spacing w:val="20"/>
          <w:szCs w:val="21"/>
        </w:rPr>
        <w:t>振威国际会展集团</w:t>
      </w:r>
    </w:p>
    <w:p w14:paraId="3167B9C6">
      <w:pPr>
        <w:spacing w:line="360" w:lineRule="auto"/>
        <w:jc w:val="center"/>
        <w:rPr>
          <w:rFonts w:ascii="Arial" w:hAnsi="宋体" w:cs="Arial"/>
          <w:bCs/>
          <w:spacing w:val="20"/>
          <w:szCs w:val="21"/>
        </w:rPr>
      </w:pPr>
      <w:r>
        <w:rPr>
          <w:rFonts w:hint="eastAsia" w:asciiTheme="minorEastAsia" w:hAnsiTheme="minorEastAsia" w:eastAsiaTheme="minorEastAsia" w:cstheme="minorEastAsia"/>
          <w:bCs/>
          <w:spacing w:val="20"/>
          <w:szCs w:val="21"/>
        </w:rPr>
        <w:t>北京振威展览有限公司</w:t>
      </w:r>
    </w:p>
    <w:p w14:paraId="0A183350">
      <w:pPr>
        <w:spacing w:line="440" w:lineRule="exact"/>
        <w:jc w:val="center"/>
        <w:rPr>
          <w:rFonts w:ascii="Arial" w:hAnsi="宋体" w:cs="Arial"/>
          <w:b/>
          <w:bCs/>
          <w:spacing w:val="20"/>
          <w:szCs w:val="21"/>
        </w:rPr>
      </w:pPr>
    </w:p>
    <w:p w14:paraId="64D95F60">
      <w:pPr>
        <w:spacing w:line="360" w:lineRule="auto"/>
        <w:jc w:val="center"/>
        <w:rPr>
          <w:rFonts w:asciiTheme="minorEastAsia" w:hAnsiTheme="minorEastAsia" w:eastAsiaTheme="minorEastAsia" w:cstheme="minorEastAsia"/>
          <w:b/>
          <w:bCs/>
          <w:spacing w:val="20"/>
          <w:sz w:val="24"/>
        </w:rPr>
      </w:pPr>
      <w:r>
        <w:rPr>
          <w:rFonts w:hint="eastAsia" w:asciiTheme="minorEastAsia" w:hAnsiTheme="minorEastAsia" w:eastAsiaTheme="minorEastAsia" w:cstheme="minorEastAsia"/>
          <w:b/>
          <w:bCs/>
          <w:spacing w:val="20"/>
          <w:sz w:val="24"/>
        </w:rPr>
        <w:t>支持单位</w:t>
      </w:r>
    </w:p>
    <w:p w14:paraId="7106B819">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中国石油和化学工业联合会</w:t>
      </w:r>
    </w:p>
    <w:p w14:paraId="5CAA0180">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中国石油和石油化工设备工业协会</w:t>
      </w:r>
    </w:p>
    <w:p w14:paraId="04A45EC7">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中国电器工业协会防爆电器分会</w:t>
      </w:r>
    </w:p>
    <w:p w14:paraId="64A9FC26">
      <w:pPr>
        <w:spacing w:line="420" w:lineRule="exact"/>
        <w:ind w:right="372" w:rightChars="177"/>
        <w:rPr>
          <w:rFonts w:ascii="Arial" w:hAnsi="宋体" w:cs="Arial"/>
          <w:b/>
          <w:bCs/>
          <w:szCs w:val="21"/>
          <w:shd w:val="pct10" w:color="auto" w:fill="FFFFFF"/>
        </w:rPr>
      </w:pPr>
    </w:p>
    <w:p w14:paraId="4CAF37DF">
      <w:pPr>
        <w:spacing w:line="420" w:lineRule="exact"/>
        <w:ind w:right="372" w:rightChars="177"/>
        <w:rPr>
          <w:rFonts w:ascii="Arial" w:hAnsi="宋体" w:cs="Arial"/>
          <w:b/>
          <w:bCs/>
          <w:szCs w:val="21"/>
          <w:shd w:val="pct10" w:color="auto" w:fill="FFFFFF"/>
        </w:rPr>
      </w:pPr>
    </w:p>
    <w:p w14:paraId="247A3B20">
      <w:pPr>
        <w:pStyle w:val="2"/>
        <w:ind w:firstLine="0" w:firstLineChars="0"/>
      </w:pPr>
      <w:r>
        <w:drawing>
          <wp:anchor distT="0" distB="0" distL="114300" distR="114300" simplePos="0" relativeHeight="251664384" behindDoc="1" locked="0" layoutInCell="1" allowOverlap="1">
            <wp:simplePos x="0" y="0"/>
            <wp:positionH relativeFrom="column">
              <wp:posOffset>2551430</wp:posOffset>
            </wp:positionH>
            <wp:positionV relativeFrom="paragraph">
              <wp:posOffset>151130</wp:posOffset>
            </wp:positionV>
            <wp:extent cx="1254760" cy="1039495"/>
            <wp:effectExtent l="0" t="0" r="2540" b="1905"/>
            <wp:wrapNone/>
            <wp:docPr id="12"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3" descr="D:\Users\王永萍\Desktop\振威LOGO-03(1).jpg振威LOGO-03(1)"/>
                    <pic:cNvPicPr>
                      <a:picLocks noChangeAspect="1"/>
                    </pic:cNvPicPr>
                  </pic:nvPicPr>
                  <pic:blipFill>
                    <a:blip r:embed="rId4"/>
                    <a:srcRect/>
                    <a:stretch>
                      <a:fillRect/>
                    </a:stretch>
                  </pic:blipFill>
                  <pic:spPr>
                    <a:xfrm>
                      <a:off x="0" y="0"/>
                      <a:ext cx="1254760" cy="1039495"/>
                    </a:xfrm>
                    <a:prstGeom prst="rect">
                      <a:avLst/>
                    </a:prstGeom>
                    <a:noFill/>
                    <a:ln>
                      <a:noFill/>
                    </a:ln>
                  </pic:spPr>
                </pic:pic>
              </a:graphicData>
            </a:graphic>
          </wp:anchor>
        </w:drawing>
      </w:r>
    </w:p>
    <w:p w14:paraId="2B61AE9E">
      <w:pPr>
        <w:spacing w:line="360" w:lineRule="auto"/>
        <w:rPr>
          <w:rFonts w:ascii="微软雅黑" w:hAnsi="微软雅黑" w:eastAsia="微软雅黑"/>
          <w:b/>
          <w:sz w:val="22"/>
          <w:szCs w:val="22"/>
        </w:rPr>
      </w:pPr>
    </w:p>
    <w:p w14:paraId="3582F2F1">
      <w:pPr>
        <w:spacing w:line="360" w:lineRule="auto"/>
        <w:rPr>
          <w:rFonts w:ascii="微软雅黑" w:hAnsi="微软雅黑" w:eastAsia="微软雅黑"/>
          <w:b/>
          <w:sz w:val="22"/>
          <w:szCs w:val="22"/>
        </w:rPr>
      </w:pPr>
    </w:p>
    <w:p w14:paraId="501B2DBC">
      <w:pPr>
        <w:keepNext w:val="0"/>
        <w:keepLines w:val="0"/>
        <w:pageBreakBefore w:val="0"/>
        <w:kinsoku/>
        <w:wordWrap/>
        <w:overflowPunct/>
        <w:topLinePunct w:val="0"/>
        <w:autoSpaceDE/>
        <w:autoSpaceDN/>
        <w:bidi w:val="0"/>
        <w:adjustRightInd/>
        <w:snapToGrid/>
        <w:spacing w:line="420" w:lineRule="atLeast"/>
        <w:textAlignment w:val="auto"/>
        <w:rPr>
          <w:rFonts w:hint="eastAsia" w:ascii="微软雅黑" w:hAnsi="微软雅黑" w:eastAsia="微软雅黑"/>
          <w:b/>
          <w:sz w:val="22"/>
          <w:szCs w:val="22"/>
        </w:rPr>
      </w:pPr>
    </w:p>
    <w:p w14:paraId="7CF92ABE">
      <w:pPr>
        <w:keepNext w:val="0"/>
        <w:keepLines w:val="0"/>
        <w:pageBreakBefore w:val="0"/>
        <w:kinsoku/>
        <w:wordWrap/>
        <w:overflowPunct/>
        <w:topLinePunct w:val="0"/>
        <w:autoSpaceDE/>
        <w:autoSpaceDN/>
        <w:bidi w:val="0"/>
        <w:adjustRightInd/>
        <w:snapToGrid/>
        <w:spacing w:line="420" w:lineRule="atLeast"/>
        <w:textAlignment w:val="auto"/>
        <w:rPr>
          <w:rFonts w:ascii="微软雅黑" w:hAnsi="微软雅黑" w:eastAsia="微软雅黑"/>
          <w:b/>
          <w:sz w:val="22"/>
          <w:szCs w:val="22"/>
        </w:rPr>
      </w:pPr>
      <w:r>
        <w:rPr>
          <w:rFonts w:hint="eastAsia" w:ascii="微软雅黑" w:hAnsi="微软雅黑" w:eastAsia="微软雅黑"/>
          <w:b/>
          <w:sz w:val="22"/>
          <w:szCs w:val="22"/>
        </w:rPr>
        <w:t>行业盛会，打造油气领域创新高地</w:t>
      </w:r>
    </w:p>
    <w:p w14:paraId="0D0E4F5B">
      <w:pPr>
        <w:keepNext w:val="0"/>
        <w:keepLines w:val="0"/>
        <w:pageBreakBefore w:val="0"/>
        <w:kinsoku/>
        <w:wordWrap/>
        <w:overflowPunct/>
        <w:topLinePunct w:val="0"/>
        <w:autoSpaceDE/>
        <w:autoSpaceDN/>
        <w:bidi w:val="0"/>
        <w:adjustRightInd/>
        <w:snapToGrid/>
        <w:spacing w:line="420" w:lineRule="atLeast"/>
        <w:ind w:firstLine="420" w:firstLineChars="200"/>
        <w:textAlignment w:val="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rPr>
        <w:t>西南油气资源在我国油气行业的地位历来举足轻重，2021年12月2日，蜀南气矿年产油气当量突破千万吨，达到1000.8万吨。“十四五”时期，中国能源发展将进入转型加速期，绿色化、高端化以及差异化的发展将为石油石化产业创造更多细分领域的新机遇，在绿色、安全、智慧和创新的目标指引下，消费升级与供给侧结构性改革，推动着行业发展的深度变革。作为一年一度的世界石油天然气大会，cippe一直以“服务企业，助推产业”为己任，展会已逐渐覆盖华北、华东以及西南市场，成为服务于我国油气及石油</w:t>
      </w:r>
      <w:r>
        <w:rPr>
          <w:rFonts w:hint="eastAsia" w:asciiTheme="minorEastAsia" w:hAnsiTheme="minorEastAsia" w:eastAsiaTheme="minorEastAsia" w:cstheme="minorEastAsia"/>
          <w:szCs w:val="21"/>
          <w:highlight w:val="none"/>
        </w:rPr>
        <w:t>化工领域的一站式平台。</w:t>
      </w:r>
    </w:p>
    <w:p w14:paraId="32166F41">
      <w:pPr>
        <w:keepNext w:val="0"/>
        <w:keepLines w:val="0"/>
        <w:pageBreakBefore w:val="0"/>
        <w:kinsoku/>
        <w:wordWrap/>
        <w:overflowPunct/>
        <w:topLinePunct w:val="0"/>
        <w:autoSpaceDE/>
        <w:autoSpaceDN/>
        <w:bidi w:val="0"/>
        <w:adjustRightInd/>
        <w:snapToGrid/>
        <w:spacing w:line="420" w:lineRule="atLeast"/>
        <w:ind w:firstLine="420" w:firstLineChars="20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highlight w:val="none"/>
        </w:rPr>
        <w:t>202</w:t>
      </w:r>
      <w:r>
        <w:rPr>
          <w:rFonts w:hint="eastAsia" w:asciiTheme="minorEastAsia" w:hAnsiTheme="minorEastAsia" w:eastAsiaTheme="minorEastAsia" w:cstheme="minorEastAsia"/>
          <w:szCs w:val="21"/>
          <w:highlight w:val="none"/>
          <w:lang w:val="en-US" w:eastAsia="zh-CN"/>
        </w:rPr>
        <w:t>6</w:t>
      </w:r>
      <w:r>
        <w:rPr>
          <w:rFonts w:hint="eastAsia" w:asciiTheme="minorEastAsia" w:hAnsiTheme="minorEastAsia" w:eastAsiaTheme="minorEastAsia" w:cstheme="minorEastAsia"/>
          <w:szCs w:val="21"/>
          <w:highlight w:val="none"/>
        </w:rPr>
        <w:t>年</w:t>
      </w:r>
      <w:r>
        <w:rPr>
          <w:rFonts w:hint="eastAsia" w:asciiTheme="minorEastAsia" w:hAnsiTheme="minorEastAsia" w:eastAsiaTheme="minorEastAsia" w:cstheme="minorEastAsia"/>
          <w:szCs w:val="21"/>
          <w:highlight w:val="none"/>
          <w:lang w:val="en-US" w:eastAsia="zh-CN"/>
        </w:rPr>
        <w:t>9</w:t>
      </w:r>
      <w:r>
        <w:rPr>
          <w:rFonts w:hint="eastAsia" w:asciiTheme="minorEastAsia" w:hAnsiTheme="minorEastAsia" w:eastAsiaTheme="minorEastAsia" w:cstheme="minorEastAsia"/>
          <w:szCs w:val="21"/>
          <w:highlight w:val="none"/>
        </w:rPr>
        <w:t>月</w:t>
      </w:r>
      <w:r>
        <w:rPr>
          <w:rFonts w:hint="eastAsia" w:asciiTheme="minorEastAsia" w:hAnsiTheme="minorEastAsia" w:eastAsiaTheme="minorEastAsia" w:cstheme="minorEastAsia"/>
          <w:szCs w:val="21"/>
          <w:highlight w:val="none"/>
          <w:lang w:val="en-US" w:eastAsia="zh-CN"/>
        </w:rPr>
        <w:t>21</w:t>
      </w:r>
      <w:r>
        <w:rPr>
          <w:rFonts w:hint="eastAsia" w:asciiTheme="minorEastAsia" w:hAnsiTheme="minorEastAsia" w:eastAsiaTheme="minorEastAsia" w:cstheme="minorEastAsia"/>
          <w:szCs w:val="21"/>
          <w:highlight w:val="none"/>
        </w:rPr>
        <w:t>-</w:t>
      </w:r>
      <w:r>
        <w:rPr>
          <w:rFonts w:hint="eastAsia" w:asciiTheme="minorEastAsia" w:hAnsiTheme="minorEastAsia" w:eastAsiaTheme="minorEastAsia" w:cstheme="minorEastAsia"/>
          <w:szCs w:val="21"/>
          <w:highlight w:val="none"/>
          <w:lang w:val="en-US" w:eastAsia="zh-CN"/>
        </w:rPr>
        <w:t>23</w:t>
      </w:r>
      <w:r>
        <w:rPr>
          <w:rFonts w:hint="eastAsia" w:asciiTheme="minorEastAsia" w:hAnsiTheme="minorEastAsia" w:eastAsiaTheme="minorEastAsia" w:cstheme="minorEastAsia"/>
          <w:szCs w:val="21"/>
          <w:highlight w:val="none"/>
        </w:rPr>
        <w:t>日，</w:t>
      </w:r>
      <w:r>
        <w:rPr>
          <w:rFonts w:hint="eastAsia" w:asciiTheme="minorEastAsia" w:hAnsiTheme="minorEastAsia" w:eastAsiaTheme="minorEastAsia" w:cstheme="minorEastAsia"/>
          <w:szCs w:val="21"/>
          <w:highlight w:val="none"/>
          <w:lang w:val="en-US" w:eastAsia="zh-CN"/>
        </w:rPr>
        <w:t>2026</w:t>
      </w:r>
      <w:r>
        <w:rPr>
          <w:rFonts w:hint="eastAsia" w:asciiTheme="minorEastAsia" w:hAnsiTheme="minorEastAsia" w:eastAsiaTheme="minorEastAsia" w:cstheme="minorEastAsia"/>
          <w:szCs w:val="21"/>
          <w:highlight w:val="none"/>
        </w:rPr>
        <w:t>成都国</w:t>
      </w:r>
      <w:r>
        <w:rPr>
          <w:rFonts w:hint="eastAsia" w:asciiTheme="minorEastAsia" w:hAnsiTheme="minorEastAsia" w:eastAsiaTheme="minorEastAsia" w:cstheme="minorEastAsia"/>
          <w:szCs w:val="21"/>
        </w:rPr>
        <w:t>际石油石化技术装备展览会（cippe成都石油展）将在成都世纪城新国际会展中心举办，总览面积30,000平方米，来自全国各地区的400家企业将亮相展会现场，预计吸引国内外2万人次的专业观众到场参观。</w:t>
      </w:r>
    </w:p>
    <w:p w14:paraId="7F787FC4">
      <w:pPr>
        <w:keepNext w:val="0"/>
        <w:keepLines w:val="0"/>
        <w:pageBreakBefore w:val="0"/>
        <w:kinsoku/>
        <w:wordWrap/>
        <w:overflowPunct/>
        <w:topLinePunct w:val="0"/>
        <w:autoSpaceDE/>
        <w:autoSpaceDN/>
        <w:bidi w:val="0"/>
        <w:adjustRightInd/>
        <w:snapToGrid/>
        <w:spacing w:line="420" w:lineRule="atLeast"/>
        <w:textAlignment w:val="auto"/>
        <w:rPr>
          <w:rFonts w:ascii="微软雅黑" w:hAnsi="微软雅黑" w:eastAsia="微软雅黑"/>
          <w:b/>
          <w:sz w:val="22"/>
          <w:szCs w:val="22"/>
        </w:rPr>
      </w:pPr>
      <w:r>
        <w:rPr>
          <w:rFonts w:hint="eastAsia" w:ascii="微软雅黑" w:hAnsi="微软雅黑" w:eastAsia="微软雅黑"/>
          <w:b/>
          <w:sz w:val="22"/>
          <w:szCs w:val="22"/>
        </w:rPr>
        <w:t>同期论坛，促进前沿技术深入交流</w:t>
      </w:r>
    </w:p>
    <w:p w14:paraId="7173351C">
      <w:pPr>
        <w:keepNext w:val="0"/>
        <w:keepLines w:val="0"/>
        <w:pageBreakBefore w:val="0"/>
        <w:kinsoku/>
        <w:wordWrap/>
        <w:overflowPunct/>
        <w:topLinePunct w:val="0"/>
        <w:autoSpaceDE/>
        <w:autoSpaceDN/>
        <w:bidi w:val="0"/>
        <w:adjustRightInd/>
        <w:snapToGrid/>
        <w:spacing w:line="420" w:lineRule="atLeast"/>
        <w:ind w:firstLine="420" w:firstLineChars="20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highlight w:val="none"/>
        </w:rPr>
        <w:t>展会</w:t>
      </w:r>
      <w:r>
        <w:rPr>
          <w:rFonts w:hint="eastAsia" w:asciiTheme="minorEastAsia" w:hAnsiTheme="minorEastAsia" w:eastAsiaTheme="minorEastAsia" w:cstheme="minorEastAsia"/>
          <w:szCs w:val="21"/>
          <w:highlight w:val="none"/>
          <w:lang w:val="en-US" w:eastAsia="zh-CN"/>
        </w:rPr>
        <w:t>将</w:t>
      </w:r>
      <w:r>
        <w:rPr>
          <w:rFonts w:hint="eastAsia" w:asciiTheme="minorEastAsia" w:hAnsiTheme="minorEastAsia" w:eastAsiaTheme="minorEastAsia" w:cstheme="minorEastAsia"/>
          <w:szCs w:val="21"/>
          <w:highlight w:val="none"/>
        </w:rPr>
        <w:t>打造西部石油行业高品质峰会，将邀请行业协会、石油石化装备制造企业、行业科研院所、行业权威媒体等业界大咖齐聚一堂，探讨行业热点及痛点，</w:t>
      </w:r>
      <w:r>
        <w:rPr>
          <w:rFonts w:hint="eastAsia" w:asciiTheme="minorEastAsia" w:hAnsiTheme="minorEastAsia" w:eastAsiaTheme="minorEastAsia" w:cstheme="minorEastAsia"/>
          <w:szCs w:val="21"/>
        </w:rPr>
        <w:t>把脉行业发展趋势，实现资源、技术、信息、科技成果有效对接。</w:t>
      </w:r>
    </w:p>
    <w:p w14:paraId="1198FC44">
      <w:pPr>
        <w:keepNext w:val="0"/>
        <w:keepLines w:val="0"/>
        <w:pageBreakBefore w:val="0"/>
        <w:kinsoku/>
        <w:wordWrap/>
        <w:overflowPunct/>
        <w:topLinePunct w:val="0"/>
        <w:autoSpaceDE/>
        <w:autoSpaceDN/>
        <w:bidi w:val="0"/>
        <w:adjustRightInd/>
        <w:snapToGrid/>
        <w:spacing w:line="420" w:lineRule="atLeast"/>
        <w:textAlignment w:val="auto"/>
        <w:rPr>
          <w:rFonts w:ascii="微软雅黑" w:hAnsi="微软雅黑" w:eastAsia="微软雅黑"/>
          <w:b/>
          <w:sz w:val="22"/>
          <w:szCs w:val="22"/>
        </w:rPr>
      </w:pPr>
      <w:r>
        <w:rPr>
          <w:rFonts w:hint="eastAsia" w:ascii="微软雅黑" w:hAnsi="微软雅黑" w:eastAsia="微软雅黑"/>
          <w:b/>
          <w:sz w:val="22"/>
          <w:szCs w:val="22"/>
        </w:rPr>
        <w:t>采购活动，搭建高效供求交易平台</w:t>
      </w:r>
    </w:p>
    <w:p w14:paraId="40048CE0">
      <w:pPr>
        <w:keepNext w:val="0"/>
        <w:keepLines w:val="0"/>
        <w:pageBreakBefore w:val="0"/>
        <w:kinsoku/>
        <w:wordWrap/>
        <w:overflowPunct/>
        <w:topLinePunct w:val="0"/>
        <w:autoSpaceDE/>
        <w:autoSpaceDN/>
        <w:bidi w:val="0"/>
        <w:adjustRightInd/>
        <w:snapToGrid/>
        <w:spacing w:line="420" w:lineRule="atLeast"/>
        <w:ind w:firstLine="420" w:firstLineChars="20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ippe买家采购对接会”是cippe成都石油展重点打造的品牌活动，旨在为供求双方打造一个高效、精准、可信赖的供求交流平台。组委会投入专人，深度挖掘意向采购客户，根据买家的采购需求，精准匹配优质展商，促进供求双方深度交流，实现线上线下完美融合。</w:t>
      </w:r>
    </w:p>
    <w:p w14:paraId="7ABC981E">
      <w:pPr>
        <w:keepNext w:val="0"/>
        <w:keepLines w:val="0"/>
        <w:pageBreakBefore w:val="0"/>
        <w:kinsoku/>
        <w:wordWrap/>
        <w:overflowPunct/>
        <w:topLinePunct w:val="0"/>
        <w:autoSpaceDE/>
        <w:autoSpaceDN/>
        <w:bidi w:val="0"/>
        <w:adjustRightInd/>
        <w:snapToGrid/>
        <w:spacing w:line="420" w:lineRule="atLeast"/>
        <w:textAlignment w:val="auto"/>
        <w:rPr>
          <w:rFonts w:asciiTheme="minorEastAsia" w:hAnsiTheme="minorEastAsia" w:eastAsiaTheme="minorEastAsia" w:cstheme="minorEastAsia"/>
          <w:b/>
          <w:bCs/>
          <w:sz w:val="22"/>
          <w:szCs w:val="22"/>
          <w:shd w:val="clear" w:color="auto" w:fill="FFFFFF"/>
        </w:rPr>
      </w:pPr>
      <w:r>
        <w:rPr>
          <w:rFonts w:hint="eastAsia" w:ascii="微软雅黑" w:hAnsi="微软雅黑" w:eastAsia="微软雅黑"/>
          <w:b/>
          <w:sz w:val="22"/>
          <w:szCs w:val="22"/>
        </w:rPr>
        <w:t>展会联动，全力保障行业专业观众</w:t>
      </w:r>
    </w:p>
    <w:p w14:paraId="21F2AEB1">
      <w:pPr>
        <w:keepNext w:val="0"/>
        <w:keepLines w:val="0"/>
        <w:pageBreakBefore w:val="0"/>
        <w:kinsoku/>
        <w:wordWrap/>
        <w:overflowPunct/>
        <w:topLinePunct w:val="0"/>
        <w:autoSpaceDE/>
        <w:autoSpaceDN/>
        <w:bidi w:val="0"/>
        <w:adjustRightInd/>
        <w:snapToGrid/>
        <w:spacing w:line="420" w:lineRule="atLeast"/>
        <w:ind w:firstLine="420" w:firstLineChars="20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办方振威国际会展集团是我国石油石化领域最专业的展览公司，沉淀行业20余年，积累了深厚的行业资源，旗下cippe北京石油展、cippe上海石化展均为石油石化行业首屈一指的品牌展会。本届展会是振威国际会展集团布局西南石油石化市场</w:t>
      </w:r>
      <w:r>
        <w:rPr>
          <w:rFonts w:hint="eastAsia" w:asciiTheme="minorEastAsia" w:hAnsiTheme="minorEastAsia" w:eastAsiaTheme="minorEastAsia" w:cstheme="minorEastAsia"/>
          <w:szCs w:val="21"/>
          <w:highlight w:val="none"/>
        </w:rPr>
        <w:t>的</w:t>
      </w:r>
      <w:r>
        <w:rPr>
          <w:rFonts w:hint="eastAsia" w:asciiTheme="minorEastAsia" w:hAnsiTheme="minorEastAsia" w:eastAsiaTheme="minorEastAsia" w:cstheme="minorEastAsia"/>
          <w:sz w:val="21"/>
          <w:szCs w:val="21"/>
          <w:highlight w:val="none"/>
          <w:lang w:val="en-US" w:eastAsia="zh-CN"/>
        </w:rPr>
        <w:t>重大交易平台</w:t>
      </w:r>
      <w:r>
        <w:rPr>
          <w:rFonts w:hint="eastAsia" w:asciiTheme="minorEastAsia" w:hAnsiTheme="minorEastAsia" w:eastAsiaTheme="minorEastAsia" w:cstheme="minorEastAsia"/>
          <w:szCs w:val="21"/>
          <w:highlight w:val="none"/>
        </w:rPr>
        <w:t>，集团将导入优质行业资源，助力成都国际石油石化技术装备展跨越式发展。秉承振威会展“专业观众是展会生命力”</w:t>
      </w:r>
      <w:r>
        <w:rPr>
          <w:rFonts w:hint="eastAsia" w:asciiTheme="minorEastAsia" w:hAnsiTheme="minorEastAsia" w:eastAsiaTheme="minorEastAsia" w:cstheme="minorEastAsia"/>
          <w:szCs w:val="21"/>
        </w:rPr>
        <w:t>的办展宗旨，主办方精准把握展商需求，锁定重点行业，组织核心买家群。常年通过电话、邮件、短信、网络推广、大数据营销、媒体发布、行业协会合作等多种渠道，锁定重点区域与重点行业，进行全方位展会观众邀约，切实保障企业参展成效。</w:t>
      </w:r>
    </w:p>
    <w:p w14:paraId="632A034B">
      <w:pPr>
        <w:keepNext w:val="0"/>
        <w:keepLines w:val="0"/>
        <w:pageBreakBefore w:val="0"/>
        <w:widowControl/>
        <w:kinsoku/>
        <w:wordWrap/>
        <w:overflowPunct/>
        <w:topLinePunct w:val="0"/>
        <w:autoSpaceDE/>
        <w:autoSpaceDN/>
        <w:bidi w:val="0"/>
        <w:adjustRightInd/>
        <w:snapToGrid/>
        <w:spacing w:line="420" w:lineRule="atLeast"/>
        <w:jc w:val="left"/>
        <w:textAlignment w:val="auto"/>
        <w:rPr>
          <w:rFonts w:ascii="微软雅黑" w:hAnsi="微软雅黑" w:eastAsia="微软雅黑"/>
          <w:b/>
          <w:sz w:val="22"/>
          <w:szCs w:val="22"/>
        </w:rPr>
      </w:pPr>
      <w:r>
        <w:rPr>
          <w:rFonts w:hint="eastAsia" w:ascii="微软雅黑" w:hAnsi="微软雅黑" w:eastAsia="微软雅黑"/>
          <w:b/>
          <w:sz w:val="22"/>
          <w:szCs w:val="22"/>
        </w:rPr>
        <w:t>品牌传播，优质媒体助力全程报道</w:t>
      </w:r>
    </w:p>
    <w:p w14:paraId="23513F48">
      <w:pPr>
        <w:keepNext w:val="0"/>
        <w:keepLines w:val="0"/>
        <w:pageBreakBefore w:val="0"/>
        <w:kinsoku/>
        <w:wordWrap/>
        <w:overflowPunct/>
        <w:topLinePunct w:val="0"/>
        <w:autoSpaceDE/>
        <w:autoSpaceDN/>
        <w:bidi w:val="0"/>
        <w:adjustRightInd/>
        <w:snapToGrid/>
        <w:spacing w:line="420" w:lineRule="atLeast"/>
        <w:ind w:firstLine="420" w:firstLineChars="20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展会将邀请新华社、人民日报、中央电视台、中国日报、中国石油报、中国石化报、</w:t>
      </w:r>
      <w:r>
        <w:rPr>
          <w:rFonts w:hint="eastAsia" w:asciiTheme="minorEastAsia" w:hAnsiTheme="minorEastAsia" w:eastAsiaTheme="minorEastAsia" w:cstheme="minorEastAsia"/>
          <w:sz w:val="21"/>
          <w:szCs w:val="21"/>
          <w:lang w:val="en-US" w:eastAsia="zh-CN"/>
        </w:rPr>
        <w:t>石油商报、Upstream、Gulfoilfield Directory、中国证券报、</w:t>
      </w:r>
      <w:r>
        <w:rPr>
          <w:rFonts w:hint="eastAsia" w:asciiTheme="minorEastAsia" w:hAnsiTheme="minorEastAsia" w:eastAsiaTheme="minorEastAsia" w:cstheme="minorEastAsia"/>
          <w:szCs w:val="21"/>
        </w:rPr>
        <w:t>上海证券报、第一财经日报、华尔街日报及新华网、新浪、搜狐、人民网等国内外上千家媒体进行报道。</w:t>
      </w:r>
    </w:p>
    <w:p w14:paraId="5CDC7C5D">
      <w:pPr>
        <w:spacing w:line="480" w:lineRule="auto"/>
        <w:rPr>
          <w:rFonts w:ascii="Arial" w:hAnsi="宋体" w:cs="Arial"/>
          <w:b/>
          <w:bCs/>
          <w:sz w:val="22"/>
          <w:szCs w:val="22"/>
          <w:shd w:val="pct10" w:color="auto" w:fill="FFFFFF"/>
        </w:rPr>
      </w:pPr>
    </w:p>
    <w:p w14:paraId="46481A3D">
      <w:pPr>
        <w:spacing w:line="420" w:lineRule="exact"/>
        <w:rPr>
          <w:rFonts w:ascii="Arial" w:hAnsi="宋体" w:cs="Arial"/>
          <w:b/>
          <w:bCs/>
          <w:sz w:val="22"/>
          <w:szCs w:val="22"/>
          <w:shd w:val="pct10" w:color="auto" w:fill="FFFFFF"/>
        </w:rPr>
      </w:pPr>
      <w:r>
        <w:rPr>
          <w:rFonts w:hint="eastAsia" w:asciiTheme="minorEastAsia" w:hAnsiTheme="minorEastAsia" w:eastAsiaTheme="minorEastAsia" w:cstheme="minorEastAsia"/>
          <w:b/>
          <w:szCs w:val="21"/>
        </w:rPr>
        <w:t>展会日程：</w:t>
      </w:r>
    </w:p>
    <w:p w14:paraId="77BF9DBB">
      <w:pPr>
        <w:spacing w:line="4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报到布展：202</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19</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 xml:space="preserve">日 </w:t>
      </w:r>
      <w:r>
        <w:rPr>
          <w:rFonts w:asciiTheme="minorEastAsia" w:hAnsiTheme="minorEastAsia" w:eastAsiaTheme="minorEastAsia" w:cstheme="minorEastAsia"/>
          <w:szCs w:val="21"/>
        </w:rPr>
        <w:t xml:space="preserve">   </w:t>
      </w:r>
    </w:p>
    <w:p w14:paraId="5EB85F15">
      <w:pPr>
        <w:spacing w:line="4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展示交易：202</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21</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23</w:t>
      </w:r>
      <w:r>
        <w:rPr>
          <w:rFonts w:hint="eastAsia" w:asciiTheme="minorEastAsia" w:hAnsiTheme="minorEastAsia" w:eastAsiaTheme="minorEastAsia" w:cstheme="minorEastAsia"/>
          <w:szCs w:val="21"/>
        </w:rPr>
        <w:t xml:space="preserve">日 </w:t>
      </w:r>
    </w:p>
    <w:p w14:paraId="2E200896">
      <w:pPr>
        <w:spacing w:line="4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闭幕撤展：202</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23</w:t>
      </w:r>
      <w:r>
        <w:rPr>
          <w:rFonts w:hint="eastAsia" w:asciiTheme="minorEastAsia" w:hAnsiTheme="minorEastAsia" w:eastAsiaTheme="minorEastAsia" w:cstheme="minorEastAsia"/>
          <w:szCs w:val="21"/>
        </w:rPr>
        <w:t>日下午14：00</w:t>
      </w:r>
    </w:p>
    <w:p w14:paraId="1D92E1E4">
      <w:pPr>
        <w:spacing w:line="480" w:lineRule="auto"/>
        <w:rPr>
          <w:rFonts w:ascii="Arial" w:hAnsi="宋体" w:cs="Arial"/>
          <w:b/>
          <w:bCs/>
          <w:sz w:val="22"/>
          <w:szCs w:val="22"/>
          <w:shd w:val="pct10" w:color="auto" w:fill="FFFFFF"/>
        </w:rPr>
      </w:pPr>
      <w:r>
        <w:rPr>
          <w:rFonts w:ascii="Arial" w:hAnsi="宋体" w:cs="Arial"/>
          <w:b/>
          <w:bCs/>
          <w:sz w:val="22"/>
          <w:szCs w:val="22"/>
          <w:shd w:val="pct10" w:color="auto" w:fill="FFFFFF"/>
        </w:rPr>
        <w:t>如果您是下列产品的供应商，请即预定展位</w:t>
      </w:r>
    </w:p>
    <w:tbl>
      <w:tblPr>
        <w:tblStyle w:val="10"/>
        <w:tblW w:w="1045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3"/>
      </w:tblGrid>
      <w:tr w14:paraId="5C64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3" w:type="dxa"/>
          </w:tcPr>
          <w:p w14:paraId="20AF83B6">
            <w:pPr>
              <w:spacing w:line="280" w:lineRule="exact"/>
              <w:rPr>
                <w:rFonts w:cs="Arial" w:asciiTheme="minorEastAsia" w:hAnsiTheme="minorEastAsia" w:eastAsiaTheme="minorEastAsia"/>
                <w:color w:val="000000" w:themeColor="text1"/>
                <w:sz w:val="20"/>
                <w:szCs w:val="20"/>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油气勘探开发</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cs="Arial" w:asciiTheme="minorEastAsia" w:hAnsiTheme="minorEastAsia" w:eastAsiaTheme="minorEastAsia"/>
                <w:color w:val="000000" w:themeColor="text1"/>
                <w:sz w:val="20"/>
                <w:szCs w:val="20"/>
                <w14:textFill>
                  <w14:solidFill>
                    <w14:schemeClr w14:val="tx1"/>
                  </w14:solidFill>
                </w14:textFill>
              </w:rPr>
              <w:t>物探、测井、钻井技术与设备</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完井技术与装备</w:t>
            </w:r>
          </w:p>
          <w:p w14:paraId="486BF9E9">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海洋工程技术与装备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天然气技术与装备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自动化技术装备、仪器仪表</w:t>
            </w:r>
          </w:p>
          <w:p w14:paraId="7A0DA349">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油气田地面工程技术及装备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石油石化设备与制造</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工业防爆产品</w:t>
            </w:r>
          </w:p>
          <w:p w14:paraId="4353E12D">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油气管道建设工程技术</w:t>
            </w:r>
            <w:r>
              <w:rPr>
                <w:rFonts w:hint="eastAsia" w:cs="Arial" w:asciiTheme="minorEastAsia" w:hAnsiTheme="minorEastAsia" w:eastAsiaTheme="minorEastAsia"/>
                <w:color w:val="000000" w:themeColor="text1"/>
                <w:sz w:val="20"/>
                <w:szCs w:val="20"/>
                <w14:textFill>
                  <w14:solidFill>
                    <w14:schemeClr w14:val="tx1"/>
                  </w14:solidFill>
                </w14:textFill>
              </w:rPr>
              <w:t>与</w:t>
            </w:r>
            <w:r>
              <w:rPr>
                <w:rFonts w:cs="Arial" w:asciiTheme="minorEastAsia" w:hAnsiTheme="minorEastAsia" w:eastAsiaTheme="minorEastAsia"/>
                <w:color w:val="000000" w:themeColor="text1"/>
                <w:sz w:val="20"/>
                <w:szCs w:val="20"/>
                <w14:textFill>
                  <w14:solidFill>
                    <w14:schemeClr w14:val="tx1"/>
                  </w14:solidFill>
                </w14:textFill>
              </w:rPr>
              <w:t>设备</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管道非开挖技术与装备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发电机组</w:t>
            </w:r>
            <w:r>
              <w:rPr>
                <w:rFonts w:hint="eastAsia" w:cs="Arial" w:asciiTheme="minorEastAsia" w:hAnsiTheme="minorEastAsia" w:eastAsiaTheme="minorEastAsia"/>
                <w:color w:val="000000" w:themeColor="text1"/>
                <w:sz w:val="20"/>
                <w:szCs w:val="20"/>
                <w14:textFill>
                  <w14:solidFill>
                    <w14:schemeClr w14:val="tx1"/>
                  </w14:solidFill>
                </w14:textFill>
              </w:rPr>
              <w:t>、</w:t>
            </w:r>
            <w:r>
              <w:rPr>
                <w:rFonts w:cs="Arial" w:asciiTheme="minorEastAsia" w:hAnsiTheme="minorEastAsia" w:eastAsiaTheme="minorEastAsia"/>
                <w:color w:val="000000" w:themeColor="text1"/>
                <w:sz w:val="20"/>
                <w:szCs w:val="20"/>
                <w14:textFill>
                  <w14:solidFill>
                    <w14:schemeClr w14:val="tx1"/>
                  </w14:solidFill>
                </w14:textFill>
              </w:rPr>
              <w:t>动力设备</w:t>
            </w:r>
          </w:p>
          <w:p w14:paraId="02D4A892">
            <w:pPr>
              <w:spacing w:line="280" w:lineRule="exact"/>
              <w:rPr>
                <w:rFonts w:cs="Arial" w:asciiTheme="minorEastAsia" w:hAnsiTheme="minorEastAsia" w:eastAsiaTheme="minorEastAsia"/>
                <w:color w:val="000000" w:themeColor="text1"/>
                <w:sz w:val="20"/>
                <w:szCs w:val="20"/>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油气储运技术与设备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油田特种车辆</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电工电气设备、电线电缆产品</w:t>
            </w:r>
          </w:p>
          <w:p w14:paraId="1089E652">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石油炼制工艺与技术</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石化工艺与技术</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设备检修、维护与管理</w:t>
            </w:r>
          </w:p>
          <w:p w14:paraId="3517AEB5">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流体机械设备与技术</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压力容器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燃油与润滑油技术与设备</w:t>
            </w:r>
          </w:p>
          <w:p w14:paraId="014C723F">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石化产品和先进材料</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加油加气站设备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0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环保、节能技术设备</w:t>
            </w:r>
          </w:p>
          <w:p w14:paraId="3093B594">
            <w:pPr>
              <w:spacing w:line="280" w:lineRule="exact"/>
              <w:rPr>
                <w:rFonts w:ascii="Arial" w:hAnsi="宋体" w:cs="Arial"/>
                <w:b/>
                <w:bCs/>
                <w:color w:val="000000" w:themeColor="text1"/>
                <w:sz w:val="20"/>
                <w:szCs w:val="20"/>
                <w:shd w:val="pct10" w:color="auto" w:fill="FFFFFF"/>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消防、预警技术设备与安全防护产品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工业清洗及防腐技术材料与</w:t>
            </w:r>
            <w:r>
              <w:rPr>
                <w:rFonts w:hint="eastAsia"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包装/密封/垫圈/紧固件/轴承</w:t>
            </w:r>
          </w:p>
          <w:p w14:paraId="0F788E9C">
            <w:pPr>
              <w:spacing w:line="280" w:lineRule="exact"/>
              <w:rPr>
                <w:rFonts w:cs="Arial" w:asciiTheme="minorEastAsia" w:hAnsiTheme="minorEastAsia" w:eastAsiaTheme="minorEastAsia"/>
                <w:color w:val="000000" w:themeColor="text1"/>
                <w:sz w:val="20"/>
                <w:szCs w:val="20"/>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油气数字化解决方案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通信与信息技术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其他配件</w:t>
            </w:r>
          </w:p>
          <w:p w14:paraId="1A27F3AF">
            <w:pPr>
              <w:spacing w:line="280" w:lineRule="exact"/>
              <w:rPr>
                <w:rFonts w:cs="Arial" w:asciiTheme="minorEastAsia" w:hAnsiTheme="minorEastAsia" w:eastAsiaTheme="minorEastAsia"/>
                <w:color w:val="000000" w:themeColor="text1"/>
                <w:sz w:val="20"/>
                <w:szCs w:val="20"/>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氢能技术与装备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0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cs="Arial" w:asciiTheme="minorEastAsia" w:hAnsiTheme="minorEastAsia" w:eastAsiaTheme="minorEastAsia"/>
                <w:color w:val="000000" w:themeColor="text1"/>
                <w:sz w:val="20"/>
                <w:szCs w:val="20"/>
                <w14:textFill>
                  <w14:solidFill>
                    <w14:schemeClr w14:val="tx1"/>
                  </w14:solidFill>
                </w14:textFill>
              </w:rPr>
              <w:t xml:space="preserve">认证、咨询服务                 </w:t>
            </w: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石油石化科研及实验室技术设备</w:t>
            </w:r>
          </w:p>
        </w:tc>
      </w:tr>
    </w:tbl>
    <w:p w14:paraId="264465C6">
      <w:pPr>
        <w:spacing w:line="480" w:lineRule="auto"/>
        <w:rPr>
          <w:rFonts w:ascii="Arial" w:hAnsi="宋体" w:cs="Arial"/>
          <w:b/>
          <w:bCs/>
          <w:sz w:val="20"/>
          <w:szCs w:val="20"/>
          <w:shd w:val="pct10" w:color="auto" w:fill="FFFFFF"/>
        </w:rPr>
      </w:pPr>
      <w:r>
        <w:rPr>
          <w:rFonts w:ascii="Arial" w:hAnsi="宋体" w:cs="Arial"/>
          <w:b/>
          <w:bCs/>
          <w:sz w:val="20"/>
          <w:szCs w:val="20"/>
          <w:shd w:val="pct10" w:color="auto" w:fill="FFFFFF"/>
        </w:rPr>
        <w:t>参展细则</w:t>
      </w:r>
      <w:r>
        <w:rPr>
          <w:rFonts w:hint="eastAsia" w:ascii="Arial" w:hAnsi="宋体" w:cs="Arial"/>
          <w:b/>
          <w:bCs/>
          <w:sz w:val="20"/>
          <w:szCs w:val="20"/>
          <w:shd w:val="pct10" w:color="auto" w:fill="FFFFFF"/>
        </w:rPr>
        <w:t>（以下所有报价均未含增值税）</w:t>
      </w:r>
    </w:p>
    <w:tbl>
      <w:tblPr>
        <w:tblStyle w:val="9"/>
        <w:tblW w:w="10485"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4533"/>
        <w:gridCol w:w="4485"/>
      </w:tblGrid>
      <w:tr w14:paraId="6769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467" w:type="dxa"/>
          </w:tcPr>
          <w:p w14:paraId="1A2419FD">
            <w:pPr>
              <w:widowControl/>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项目</w:t>
            </w:r>
          </w:p>
        </w:tc>
        <w:tc>
          <w:tcPr>
            <w:tcW w:w="4533" w:type="dxa"/>
          </w:tcPr>
          <w:p w14:paraId="3CA7B6EE">
            <w:pPr>
              <w:widowControl/>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价格/面积</w:t>
            </w:r>
          </w:p>
        </w:tc>
        <w:tc>
          <w:tcPr>
            <w:tcW w:w="4485" w:type="dxa"/>
          </w:tcPr>
          <w:p w14:paraId="1BFFE1DE">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b/>
                <w:kern w:val="0"/>
                <w:sz w:val="20"/>
                <w:szCs w:val="20"/>
              </w:rPr>
              <w:t>基本配备/规格</w:t>
            </w:r>
          </w:p>
        </w:tc>
      </w:tr>
      <w:tr w14:paraId="4359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4307EEAB"/>
          <w:p w14:paraId="38AD6F78">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标准展台</w:t>
            </w:r>
          </w:p>
        </w:tc>
        <w:tc>
          <w:tcPr>
            <w:tcW w:w="4533" w:type="dxa"/>
          </w:tcPr>
          <w:p w14:paraId="5D803EE4">
            <w:pPr>
              <w:widowControl/>
              <w:jc w:val="left"/>
            </w:pPr>
            <w:r>
              <w:rPr>
                <w:rFonts w:hint="eastAsia"/>
              </w:rPr>
              <w:t>国内展区：RMB1</w:t>
            </w:r>
            <w:r>
              <w:rPr>
                <w:rFonts w:hint="eastAsia"/>
                <w:lang w:val="en-US" w:eastAsia="zh-CN"/>
              </w:rPr>
              <w:t>3</w:t>
            </w:r>
            <w:r>
              <w:rPr>
                <w:rFonts w:hint="eastAsia"/>
              </w:rPr>
              <w:t>000元/标准展位（9㎡/个）</w:t>
            </w:r>
          </w:p>
          <w:p w14:paraId="0EC7129E">
            <w:pPr>
              <w:widowControl/>
              <w:jc w:val="left"/>
            </w:pPr>
            <w:r>
              <w:rPr>
                <w:rFonts w:hint="eastAsia"/>
              </w:rPr>
              <w:t>精装展区：RMB16800元/标准展位（9㎡/个）</w:t>
            </w:r>
          </w:p>
          <w:p w14:paraId="11108CE4">
            <w:pPr>
              <w:widowControl/>
              <w:jc w:val="left"/>
            </w:pPr>
            <w:r>
              <w:rPr>
                <w:rFonts w:hint="eastAsia"/>
              </w:rPr>
              <w:t>国际展区：RMB21800元/标准展位（9㎡/个）</w:t>
            </w:r>
          </w:p>
          <w:p w14:paraId="64457382">
            <w:pPr>
              <w:pStyle w:val="2"/>
              <w:ind w:firstLine="200"/>
            </w:pPr>
            <w:r>
              <w:rPr>
                <w:rFonts w:hint="eastAsia" w:eastAsia="宋体"/>
                <w:sz w:val="20"/>
              </w:rPr>
              <w:t>双开位置加收20%开口费。</w:t>
            </w:r>
          </w:p>
        </w:tc>
        <w:tc>
          <w:tcPr>
            <w:tcW w:w="4485" w:type="dxa"/>
          </w:tcPr>
          <w:p w14:paraId="754EC7D7">
            <w:pPr>
              <w:widowControl/>
              <w:jc w:val="left"/>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szCs w:val="20"/>
                <w:shd w:val="clear" w:color="auto" w:fill="FFFFFF"/>
              </w:rPr>
              <w:t xml:space="preserve">◆地毯            ◆三面围板   </w:t>
            </w:r>
          </w:p>
          <w:p w14:paraId="74E44FDC">
            <w:pPr>
              <w:widowControl/>
              <w:jc w:val="left"/>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szCs w:val="20"/>
                <w:shd w:val="clear" w:color="auto" w:fill="FFFFFF"/>
              </w:rPr>
              <w:t xml:space="preserve">◆公司名称楣板    ◆咨询桌一张   </w:t>
            </w:r>
          </w:p>
          <w:p w14:paraId="6B783C81">
            <w:pPr>
              <w:widowControl/>
              <w:jc w:val="left"/>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szCs w:val="20"/>
                <w:shd w:val="clear" w:color="auto" w:fill="FFFFFF"/>
              </w:rPr>
              <w:t>◆椅子两把        ◆射灯两盏</w:t>
            </w:r>
          </w:p>
          <w:p w14:paraId="4062EA4E">
            <w:pPr>
              <w:widowControl/>
              <w:jc w:val="left"/>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szCs w:val="20"/>
                <w:shd w:val="clear" w:color="auto" w:fill="FFFFFF"/>
              </w:rPr>
              <w:t xml:space="preserve">◆电源插座一个  </w:t>
            </w:r>
          </w:p>
          <w:p w14:paraId="27FC5A39">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特殊用电请事先说明，另行收费</w:t>
            </w:r>
          </w:p>
        </w:tc>
      </w:tr>
      <w:tr w14:paraId="0112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7421702A">
            <w:pPr>
              <w:widowControl/>
              <w:jc w:val="center"/>
              <w:rPr>
                <w:rFonts w:asciiTheme="minorEastAsia" w:hAnsiTheme="minorEastAsia" w:eastAsiaTheme="minorEastAsia" w:cstheme="minorEastAsia"/>
                <w:sz w:val="20"/>
                <w:szCs w:val="20"/>
                <w:shd w:val="clear" w:color="auto" w:fill="FFFFFF"/>
              </w:rPr>
            </w:pPr>
          </w:p>
          <w:p w14:paraId="554F9543">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空场地</w:t>
            </w:r>
          </w:p>
        </w:tc>
        <w:tc>
          <w:tcPr>
            <w:tcW w:w="4533" w:type="dxa"/>
          </w:tcPr>
          <w:p w14:paraId="2B48CFB8">
            <w:pPr>
              <w:widowControl/>
              <w:jc w:val="left"/>
              <w:rPr>
                <w:sz w:val="20"/>
                <w:szCs w:val="20"/>
              </w:rPr>
            </w:pPr>
            <w:r>
              <w:rPr>
                <w:rFonts w:hint="eastAsia"/>
                <w:sz w:val="20"/>
                <w:szCs w:val="20"/>
              </w:rPr>
              <w:t>国内展区：RMB1</w:t>
            </w:r>
            <w:r>
              <w:rPr>
                <w:rFonts w:hint="eastAsia"/>
                <w:sz w:val="20"/>
                <w:szCs w:val="20"/>
                <w:lang w:val="en-US" w:eastAsia="zh-CN"/>
              </w:rPr>
              <w:t>3</w:t>
            </w:r>
            <w:r>
              <w:rPr>
                <w:rFonts w:hint="eastAsia"/>
                <w:sz w:val="20"/>
                <w:szCs w:val="20"/>
              </w:rPr>
              <w:t>00元/㎡（36平米起租）</w:t>
            </w:r>
          </w:p>
          <w:p w14:paraId="1B8447AB">
            <w:pPr>
              <w:widowControl/>
              <w:jc w:val="left"/>
              <w:rPr>
                <w:sz w:val="20"/>
                <w:szCs w:val="20"/>
              </w:rPr>
            </w:pPr>
            <w:r>
              <w:rPr>
                <w:rFonts w:hint="eastAsia"/>
                <w:sz w:val="20"/>
                <w:szCs w:val="20"/>
              </w:rPr>
              <w:t>国际展区：RMB2180元/㎡</w:t>
            </w:r>
          </w:p>
        </w:tc>
        <w:tc>
          <w:tcPr>
            <w:tcW w:w="4485" w:type="dxa"/>
          </w:tcPr>
          <w:p w14:paraId="4A7BD310">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空场地不带任何展架及设施，参展商须选择组委会指定搭建商进行搭建，除指定搭建商外不允许任何搭建公司进入展馆。</w:t>
            </w:r>
          </w:p>
        </w:tc>
      </w:tr>
      <w:tr w14:paraId="6FF3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467" w:type="dxa"/>
          </w:tcPr>
          <w:p w14:paraId="238C669E">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会务费</w:t>
            </w:r>
          </w:p>
        </w:tc>
        <w:tc>
          <w:tcPr>
            <w:tcW w:w="4533" w:type="dxa"/>
          </w:tcPr>
          <w:p w14:paraId="259C2C23">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w:t>
            </w:r>
            <w:r>
              <w:rPr>
                <w:rFonts w:hint="eastAsia" w:asciiTheme="minorEastAsia" w:hAnsiTheme="minorEastAsia" w:eastAsiaTheme="minorEastAsia" w:cstheme="minorEastAsia"/>
                <w:sz w:val="20"/>
                <w:szCs w:val="20"/>
                <w:shd w:val="clear" w:color="auto" w:fill="FFFFFF"/>
              </w:rPr>
              <w:t>1,200元/人</w:t>
            </w:r>
          </w:p>
        </w:tc>
        <w:tc>
          <w:tcPr>
            <w:tcW w:w="4485" w:type="dxa"/>
          </w:tcPr>
          <w:p w14:paraId="03213663">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含展会资料、午餐、水、礼品等。</w:t>
            </w:r>
          </w:p>
        </w:tc>
      </w:tr>
      <w:tr w14:paraId="5E2D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5583EF84">
            <w:pPr>
              <w:widowControl/>
              <w:jc w:val="center"/>
              <w:rPr>
                <w:rFonts w:asciiTheme="minorEastAsia" w:hAnsiTheme="minorEastAsia" w:eastAsiaTheme="minorEastAsia" w:cstheme="minorEastAsia"/>
                <w:sz w:val="20"/>
                <w:szCs w:val="20"/>
                <w:shd w:val="clear" w:color="auto" w:fill="FFFFFF"/>
              </w:rPr>
            </w:pPr>
          </w:p>
          <w:p w14:paraId="35A047FA">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会刊广告</w:t>
            </w:r>
          </w:p>
        </w:tc>
        <w:tc>
          <w:tcPr>
            <w:tcW w:w="4533" w:type="dxa"/>
          </w:tcPr>
          <w:p w14:paraId="4367AD5D">
            <w:pPr>
              <w:widowControl/>
              <w:jc w:val="left"/>
              <w:rPr>
                <w:rFonts w:asciiTheme="minorEastAsia" w:hAnsiTheme="minorEastAsia" w:eastAsiaTheme="minorEastAsia" w:cstheme="minorEastAsia"/>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封面：￥25,000元  </w:t>
            </w: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0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封底： ￥20,000元 </w:t>
            </w:r>
          </w:p>
          <w:p w14:paraId="4E88744D">
            <w:pPr>
              <w:widowControl/>
              <w:jc w:val="left"/>
              <w:rPr>
                <w:rFonts w:asciiTheme="minorEastAsia" w:hAnsiTheme="minorEastAsia" w:eastAsiaTheme="minorEastAsia" w:cstheme="minorEastAsia"/>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封二：￥15,000元  </w:t>
            </w: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封三：￥15,000元</w:t>
            </w:r>
          </w:p>
          <w:p w14:paraId="46BE6469">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扉页：￥18,000元  </w:t>
            </w:r>
            <w:r>
              <w:rPr>
                <w:rFonts w:hint="eastAsia" w:asciiTheme="minorEastAsia" w:hAnsiTheme="minorEastAsia" w:eastAsiaTheme="minorEastAsia" w:cstheme="minorEastAsia"/>
                <w:color w:val="000000" w:themeColor="text1"/>
                <w:sz w:val="20"/>
                <w:szCs w:val="20"/>
                <w14:textFill>
                  <w14:solidFill>
                    <w14:schemeClr w14:val="tx1"/>
                  </w14:solidFill>
                </w14:textFill>
              </w:rPr>
              <w:sym w:font="Wingdings" w:char="F0A8"/>
            </w: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彩色内页：￥8,000元 </w:t>
            </w:r>
          </w:p>
        </w:tc>
        <w:tc>
          <w:tcPr>
            <w:tcW w:w="4485" w:type="dxa"/>
          </w:tcPr>
          <w:p w14:paraId="69BA61C6">
            <w:pPr>
              <w:widowControl/>
              <w:jc w:val="left"/>
              <w:rPr>
                <w:rFonts w:asciiTheme="minorEastAsia" w:hAnsiTheme="minorEastAsia" w:eastAsiaTheme="minorEastAsia" w:cstheme="minorEastAsia"/>
                <w:sz w:val="20"/>
                <w:szCs w:val="20"/>
                <w:shd w:val="clear" w:color="auto" w:fill="FFFFFF"/>
              </w:rPr>
            </w:pPr>
          </w:p>
          <w:p w14:paraId="1BC9F504">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会刊尺寸：130mm宽×210mm高</w:t>
            </w:r>
          </w:p>
        </w:tc>
      </w:tr>
      <w:tr w14:paraId="69CF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67" w:type="dxa"/>
          </w:tcPr>
          <w:p w14:paraId="7EFBA1B6">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shd w:val="clear" w:color="auto" w:fill="FFFFFF"/>
              </w:rPr>
              <w:t>技术讲座</w:t>
            </w:r>
          </w:p>
        </w:tc>
        <w:tc>
          <w:tcPr>
            <w:tcW w:w="4533" w:type="dxa"/>
          </w:tcPr>
          <w:p w14:paraId="5037E000">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rPr>
              <w:t xml:space="preserve">技术讲座（会议室）： </w:t>
            </w:r>
            <w:r>
              <w:rPr>
                <w:rFonts w:hint="eastAsia" w:asciiTheme="minorEastAsia" w:hAnsiTheme="minorEastAsia" w:eastAsiaTheme="minorEastAsia" w:cstheme="minorEastAsia"/>
                <w:color w:val="000000" w:themeColor="text1"/>
                <w:sz w:val="20"/>
                <w:szCs w:val="20"/>
                <w14:textFill>
                  <w14:solidFill>
                    <w14:schemeClr w14:val="tx1"/>
                  </w14:solidFill>
                </w14:textFill>
              </w:rPr>
              <w:t>￥</w:t>
            </w:r>
            <w:r>
              <w:rPr>
                <w:rFonts w:hint="eastAsia" w:asciiTheme="minorEastAsia" w:hAnsiTheme="minorEastAsia" w:eastAsiaTheme="minorEastAsia" w:cstheme="minorEastAsia"/>
                <w:sz w:val="20"/>
                <w:szCs w:val="20"/>
                <w:shd w:val="clear" w:color="auto" w:fill="FFFFFF"/>
              </w:rPr>
              <w:t>15,000元/场</w:t>
            </w:r>
          </w:p>
        </w:tc>
        <w:tc>
          <w:tcPr>
            <w:tcW w:w="4485" w:type="dxa"/>
          </w:tcPr>
          <w:p w14:paraId="679E3BCC">
            <w:pPr>
              <w:widowControl/>
              <w:jc w:val="left"/>
            </w:pPr>
            <w:r>
              <w:rPr>
                <w:rFonts w:hint="eastAsia" w:asciiTheme="minorEastAsia" w:hAnsiTheme="minorEastAsia" w:eastAsiaTheme="minorEastAsia" w:cstheme="minorEastAsia"/>
                <w:sz w:val="20"/>
                <w:szCs w:val="20"/>
                <w:shd w:val="clear" w:color="auto" w:fill="FFFFFF"/>
              </w:rPr>
              <w:t>含场地、音响设备、投影仪、现场指示牌、水等。</w:t>
            </w:r>
          </w:p>
        </w:tc>
      </w:tr>
    </w:tbl>
    <w:p w14:paraId="0FDFEEC3">
      <w:pPr>
        <w:spacing w:line="360" w:lineRule="auto"/>
        <w:rPr>
          <w:rFonts w:asciiTheme="minorEastAsia" w:hAnsiTheme="minorEastAsia" w:eastAsiaTheme="minorEastAsia"/>
          <w:b/>
          <w:sz w:val="18"/>
        </w:rPr>
      </w:pPr>
      <w:r>
        <w:rPr>
          <w:rFonts w:hint="eastAsia" w:asciiTheme="minorEastAsia" w:hAnsiTheme="minorEastAsia" w:eastAsiaTheme="minorEastAsia"/>
          <w:b/>
          <w:sz w:val="18"/>
        </w:rPr>
        <w:t>为配合企业的市场战略，我们将提供更多赞助方案选择，赞助详情请来电咨询。</w:t>
      </w:r>
    </w:p>
    <w:p w14:paraId="01B68A99">
      <w:pPr>
        <w:spacing w:line="360" w:lineRule="auto"/>
        <w:rPr>
          <w:rFonts w:cs="Arial" w:asciiTheme="minorEastAsia" w:hAnsiTheme="minorEastAsia" w:eastAsiaTheme="minorEastAsia"/>
          <w:szCs w:val="21"/>
        </w:rPr>
      </w:pPr>
      <w:r>
        <w:rPr>
          <w:rFonts w:hint="eastAsia" w:cs="Arial" w:asciiTheme="minorEastAsia" w:hAnsiTheme="minorEastAsia" w:eastAsiaTheme="minorEastAsia"/>
          <w:szCs w:val="21"/>
        </w:rPr>
        <w:t>《参展商手册》将于202</w:t>
      </w:r>
      <w:r>
        <w:rPr>
          <w:rFonts w:hint="eastAsia" w:cs="Arial" w:asciiTheme="minorEastAsia" w:hAnsiTheme="minorEastAsia" w:eastAsiaTheme="minorEastAsia"/>
          <w:szCs w:val="21"/>
          <w:lang w:val="en-US" w:eastAsia="zh-CN"/>
        </w:rPr>
        <w:t>6</w:t>
      </w:r>
      <w:r>
        <w:rPr>
          <w:rFonts w:hint="eastAsia" w:cs="Arial" w:asciiTheme="minorEastAsia" w:hAnsiTheme="minorEastAsia" w:eastAsiaTheme="minorEastAsia"/>
          <w:szCs w:val="21"/>
        </w:rPr>
        <w:t>年</w:t>
      </w:r>
      <w:r>
        <w:rPr>
          <w:rFonts w:hint="eastAsia" w:cs="Arial" w:asciiTheme="minorEastAsia" w:hAnsiTheme="minorEastAsia" w:eastAsiaTheme="minorEastAsia"/>
          <w:szCs w:val="21"/>
          <w:lang w:val="en-US" w:eastAsia="zh-CN"/>
        </w:rPr>
        <w:t>8</w:t>
      </w:r>
      <w:r>
        <w:rPr>
          <w:rFonts w:hint="eastAsia" w:cs="Arial" w:asciiTheme="minorEastAsia" w:hAnsiTheme="minorEastAsia" w:eastAsiaTheme="minorEastAsia"/>
          <w:szCs w:val="21"/>
        </w:rPr>
        <w:t>月上传到展会官网，请参展商自行下载。</w:t>
      </w:r>
    </w:p>
    <w:p w14:paraId="0AECBA9B">
      <w:pPr>
        <w:keepNext w:val="0"/>
        <w:keepLines w:val="0"/>
        <w:pageBreakBefore w:val="0"/>
        <w:widowControl w:val="0"/>
        <w:tabs>
          <w:tab w:val="left" w:pos="9345"/>
        </w:tabs>
        <w:kinsoku/>
        <w:wordWrap/>
        <w:overflowPunct/>
        <w:topLinePunct w:val="0"/>
        <w:autoSpaceDE/>
        <w:autoSpaceDN/>
        <w:bidi w:val="0"/>
        <w:adjustRightInd/>
        <w:snapToGrid/>
        <w:spacing w:line="380" w:lineRule="atLeast"/>
        <w:ind w:firstLine="1897" w:firstLineChars="900"/>
        <w:textAlignment w:val="auto"/>
        <w:rPr>
          <w:rFonts w:cs="Arial" w:asciiTheme="minorEastAsia" w:hAnsiTheme="minorEastAsia" w:eastAsiaTheme="minorEastAsia"/>
          <w:sz w:val="24"/>
        </w:rPr>
      </w:pPr>
      <w:r>
        <w:rPr>
          <w:rFonts w:cs="Arial" w:asciiTheme="minorEastAsia" w:hAnsiTheme="minorEastAsia" w:eastAsiaTheme="minorEastAsia"/>
          <w:b/>
          <w:bCs/>
          <w:szCs w:val="21"/>
        </w:rPr>
        <mc:AlternateContent>
          <mc:Choice Requires="wps">
            <w:drawing>
              <wp:anchor distT="0" distB="0" distL="114300" distR="114300" simplePos="0" relativeHeight="251662336" behindDoc="0" locked="0" layoutInCell="1" allowOverlap="1">
                <wp:simplePos x="0" y="0"/>
                <wp:positionH relativeFrom="column">
                  <wp:posOffset>979805</wp:posOffset>
                </wp:positionH>
                <wp:positionV relativeFrom="paragraph">
                  <wp:posOffset>67945</wp:posOffset>
                </wp:positionV>
                <wp:extent cx="1270" cy="1170940"/>
                <wp:effectExtent l="4445" t="0" r="13335" b="10160"/>
                <wp:wrapNone/>
                <wp:docPr id="6" name="Line 5"/>
                <wp:cNvGraphicFramePr/>
                <a:graphic xmlns:a="http://schemas.openxmlformats.org/drawingml/2006/main">
                  <a:graphicData uri="http://schemas.microsoft.com/office/word/2010/wordprocessingShape">
                    <wps:wsp>
                      <wps:cNvCnPr/>
                      <wps:spPr>
                        <a:xfrm flipH="1">
                          <a:off x="0" y="0"/>
                          <a:ext cx="1270" cy="11709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5" o:spid="_x0000_s1026" o:spt="20" style="position:absolute;left:0pt;flip:x;margin-left:77.15pt;margin-top:5.35pt;height:92.2pt;width:0.1pt;z-index:251662336;mso-width-relative:page;mso-height-relative:page;" filled="f" stroked="t" coordsize="21600,21600" o:gfxdata="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iLa3PXAAAACgEAAA8A&#10;AAAAAAAAAQAgAAAAIgAAAGRycy9kb3ducmV2LnhtbFBLAQIUABQAAAAIAIdO4kAfmoo73wEAANoD&#10;AAAOAAAAAAAAAAEAIAAAACYBAABkcnMvZTJvRG9jLnhtbFBLBQYAAAAABgAGAFkBAAB3BQAAAAA=&#10;">
                <v:fill on="f" focussize="0,0"/>
                <v:stroke color="#000000" joinstyle="round"/>
                <v:imagedata o:title=""/>
                <o:lock v:ext="edit" aspectratio="f"/>
              </v:line>
            </w:pict>
          </mc:Fallback>
        </mc:AlternateContent>
      </w:r>
      <w:r>
        <w:drawing>
          <wp:anchor distT="0" distB="0" distL="114300" distR="114300" simplePos="0" relativeHeight="251665408" behindDoc="1" locked="0" layoutInCell="1" allowOverlap="1">
            <wp:simplePos x="0" y="0"/>
            <wp:positionH relativeFrom="column">
              <wp:posOffset>-91440</wp:posOffset>
            </wp:positionH>
            <wp:positionV relativeFrom="paragraph">
              <wp:posOffset>133350</wp:posOffset>
            </wp:positionV>
            <wp:extent cx="944245" cy="782320"/>
            <wp:effectExtent l="0" t="0" r="8255" b="5080"/>
            <wp:wrapNone/>
            <wp:docPr id="13"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3" descr="D:\Users\王永萍\Desktop\振威LOGO-03(1).jpg振威LOGO-03(1)"/>
                    <pic:cNvPicPr>
                      <a:picLocks noChangeAspect="1"/>
                    </pic:cNvPicPr>
                  </pic:nvPicPr>
                  <pic:blipFill>
                    <a:blip r:embed="rId4"/>
                    <a:srcRect/>
                    <a:stretch>
                      <a:fillRect/>
                    </a:stretch>
                  </pic:blipFill>
                  <pic:spPr>
                    <a:xfrm>
                      <a:off x="0" y="0"/>
                      <a:ext cx="944245" cy="782320"/>
                    </a:xfrm>
                    <a:prstGeom prst="rect">
                      <a:avLst/>
                    </a:prstGeom>
                    <a:noFill/>
                    <a:ln>
                      <a:noFill/>
                    </a:ln>
                  </pic:spPr>
                </pic:pic>
              </a:graphicData>
            </a:graphic>
          </wp:anchor>
        </w:drawing>
      </w:r>
      <w:r>
        <w:rPr>
          <w:rFonts w:hint="eastAsia" w:cs="Arial" w:asciiTheme="minorEastAsia" w:hAnsiTheme="minorEastAsia" w:eastAsiaTheme="minorEastAsia"/>
          <w:b/>
          <w:bCs/>
          <w:szCs w:val="21"/>
        </w:rPr>
        <w:t>组织</w:t>
      </w:r>
      <w:r>
        <w:rPr>
          <w:rFonts w:cs="Arial" w:asciiTheme="minorEastAsia" w:hAnsiTheme="minorEastAsia" w:eastAsiaTheme="minorEastAsia"/>
          <w:b/>
          <w:bCs/>
          <w:szCs w:val="21"/>
        </w:rPr>
        <w:t>单位：振威国际会展集团</w:t>
      </w:r>
      <w:r>
        <w:rPr>
          <w:rFonts w:hint="eastAsia" w:cs="Arial" w:asciiTheme="minorEastAsia" w:hAnsiTheme="minorEastAsia" w:eastAsiaTheme="minorEastAsia"/>
          <w:b/>
          <w:bCs/>
          <w:szCs w:val="21"/>
        </w:rPr>
        <w:t xml:space="preserve">  </w:t>
      </w:r>
      <w:r>
        <w:rPr>
          <w:rFonts w:cs="Arial" w:asciiTheme="minorEastAsia" w:hAnsiTheme="minorEastAsia" w:eastAsiaTheme="minorEastAsia"/>
          <w:b/>
          <w:bCs/>
          <w:szCs w:val="21"/>
        </w:rPr>
        <w:t>北京振威展览有限公司</w:t>
      </w:r>
    </w:p>
    <w:p w14:paraId="31824F02">
      <w:pPr>
        <w:keepNext w:val="0"/>
        <w:keepLines w:val="0"/>
        <w:pageBreakBefore w:val="0"/>
        <w:widowControl w:val="0"/>
        <w:kinsoku/>
        <w:wordWrap/>
        <w:overflowPunct/>
        <w:topLinePunct w:val="0"/>
        <w:autoSpaceDE/>
        <w:autoSpaceDN/>
        <w:bidi w:val="0"/>
        <w:adjustRightInd/>
        <w:snapToGrid/>
        <w:spacing w:line="380" w:lineRule="atLeast"/>
        <w:ind w:firstLine="1890" w:firstLineChars="900"/>
        <w:textAlignment w:val="auto"/>
        <w:rPr>
          <w:rFonts w:asciiTheme="minorEastAsia" w:hAnsiTheme="minorEastAsia" w:eastAsiaTheme="minorEastAsia"/>
          <w:b/>
          <w:szCs w:val="21"/>
        </w:rPr>
      </w:pPr>
      <w:r>
        <w:rPr>
          <w:rFonts w:cs="Arial" w:asciiTheme="minorEastAsia" w:hAnsiTheme="minorEastAsia" w:eastAsiaTheme="minorEastAsia"/>
          <w:szCs w:val="21"/>
        </w:rPr>
        <w:t>地  址：</w:t>
      </w:r>
      <w:r>
        <w:rPr>
          <w:rFonts w:hint="eastAsia" w:asciiTheme="minorEastAsia" w:hAnsiTheme="minorEastAsia" w:eastAsiaTheme="minorEastAsia"/>
          <w:szCs w:val="21"/>
        </w:rPr>
        <w:t>北京市通州区经海五路1号院国际企业大道III13号楼振威展览大厦</w:t>
      </w:r>
      <w:r>
        <w:rPr>
          <w:rFonts w:cs="Arial" w:asciiTheme="minorEastAsia" w:hAnsiTheme="minorEastAsia" w:eastAsiaTheme="minorEastAsia"/>
          <w:szCs w:val="21"/>
        </w:rPr>
        <w:t xml:space="preserve"> </w:t>
      </w:r>
    </w:p>
    <w:p w14:paraId="78F5D2DE">
      <w:pPr>
        <w:keepNext w:val="0"/>
        <w:keepLines w:val="0"/>
        <w:pageBreakBefore w:val="0"/>
        <w:widowControl w:val="0"/>
        <w:tabs>
          <w:tab w:val="left" w:pos="9345"/>
        </w:tabs>
        <w:kinsoku/>
        <w:wordWrap/>
        <w:overflowPunct/>
        <w:topLinePunct w:val="0"/>
        <w:autoSpaceDE/>
        <w:autoSpaceDN/>
        <w:bidi w:val="0"/>
        <w:adjustRightInd/>
        <w:snapToGrid/>
        <w:spacing w:line="380" w:lineRule="atLeast"/>
        <w:ind w:firstLine="1890" w:firstLineChars="900"/>
        <w:textAlignment w:val="auto"/>
        <w:rPr>
          <w:rFonts w:cs="Arial" w:asciiTheme="minorEastAsia" w:hAnsiTheme="minorEastAsia" w:eastAsiaTheme="minorEastAsia"/>
          <w:szCs w:val="21"/>
        </w:rPr>
      </w:pPr>
      <w:r>
        <w:rPr>
          <w:rFonts w:cs="Arial" w:asciiTheme="minorEastAsia" w:hAnsiTheme="minorEastAsia" w:eastAsiaTheme="minorEastAsia"/>
          <w:szCs w:val="21"/>
        </w:rPr>
        <w:t>电</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话：</w:t>
      </w:r>
      <w:r>
        <w:rPr>
          <w:rFonts w:hint="eastAsia" w:cs="Arial" w:asciiTheme="minorEastAsia" w:hAnsiTheme="minorEastAsia" w:eastAsiaTheme="minorEastAsia"/>
          <w:szCs w:val="21"/>
        </w:rPr>
        <w:t>010-</w:t>
      </w:r>
      <w:r>
        <w:rPr>
          <w:rFonts w:cs="Arial" w:asciiTheme="minorEastAsia" w:hAnsiTheme="minorEastAsia" w:eastAsiaTheme="minorEastAsia"/>
          <w:szCs w:val="21"/>
        </w:rPr>
        <w:t>5</w:t>
      </w:r>
      <w:r>
        <w:rPr>
          <w:rFonts w:hint="eastAsia" w:cs="Arial" w:asciiTheme="minorEastAsia" w:hAnsiTheme="minorEastAsia" w:eastAsiaTheme="minorEastAsia"/>
          <w:szCs w:val="21"/>
          <w:lang w:val="en-US" w:eastAsia="zh-CN"/>
        </w:rPr>
        <w:t>617</w:t>
      </w:r>
      <w:r>
        <w:rPr>
          <w:rFonts w:cs="Arial" w:asciiTheme="minorEastAsia" w:hAnsiTheme="minorEastAsia" w:eastAsiaTheme="minorEastAsia"/>
          <w:szCs w:val="21"/>
        </w:rPr>
        <w:t xml:space="preserve"> </w:t>
      </w:r>
      <w:r>
        <w:rPr>
          <w:rFonts w:hint="eastAsia" w:cs="Arial" w:asciiTheme="minorEastAsia" w:hAnsiTheme="minorEastAsia" w:eastAsiaTheme="minorEastAsia"/>
          <w:szCs w:val="21"/>
          <w:lang w:val="en-US" w:eastAsia="zh-CN"/>
        </w:rPr>
        <w:t>6963</w:t>
      </w:r>
      <w:r>
        <w:rPr>
          <w:rFonts w:hint="eastAsia" w:cs="Arial" w:asciiTheme="minorEastAsia" w:hAnsiTheme="minorEastAsia" w:eastAsiaTheme="minorEastAsia"/>
          <w:szCs w:val="21"/>
        </w:rPr>
        <w:t xml:space="preserve">   </w:t>
      </w:r>
      <w:r>
        <w:rPr>
          <w:rFonts w:hint="eastAsia" w:cs="Arial" w:asciiTheme="minorEastAsia" w:hAnsiTheme="minorEastAsia" w:eastAsiaTheme="minorEastAsia"/>
          <w:szCs w:val="21"/>
          <w:lang w:val="en-US" w:eastAsia="zh-CN"/>
        </w:rPr>
        <w:t xml:space="preserve">      </w:t>
      </w:r>
      <w:r>
        <w:rPr>
          <w:rFonts w:cs="Arial" w:asciiTheme="minorEastAsia" w:hAnsiTheme="minorEastAsia" w:eastAsiaTheme="minorEastAsia"/>
          <w:szCs w:val="21"/>
        </w:rPr>
        <w:t>传</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真：010-</w:t>
      </w:r>
      <w:bookmarkStart w:id="0" w:name="_Hlt71948675"/>
      <w:r>
        <w:rPr>
          <w:rFonts w:hint="eastAsia" w:cs="Arial" w:asciiTheme="minorEastAsia" w:hAnsiTheme="minorEastAsia" w:eastAsiaTheme="minorEastAsia"/>
          <w:szCs w:val="21"/>
        </w:rPr>
        <w:t xml:space="preserve">5617 6998    </w:t>
      </w:r>
    </w:p>
    <w:p w14:paraId="534675DA">
      <w:pPr>
        <w:keepNext w:val="0"/>
        <w:keepLines w:val="0"/>
        <w:pageBreakBefore w:val="0"/>
        <w:widowControl w:val="0"/>
        <w:tabs>
          <w:tab w:val="left" w:pos="9345"/>
        </w:tabs>
        <w:kinsoku/>
        <w:wordWrap/>
        <w:overflowPunct/>
        <w:topLinePunct w:val="0"/>
        <w:autoSpaceDE/>
        <w:autoSpaceDN/>
        <w:bidi w:val="0"/>
        <w:adjustRightInd/>
        <w:snapToGrid/>
        <w:spacing w:line="380" w:lineRule="atLeast"/>
        <w:ind w:firstLine="1890" w:firstLineChars="900"/>
        <w:textAlignment w:val="auto"/>
        <w:rPr>
          <w:rFonts w:hint="eastAsia" w:cs="Arial" w:asciiTheme="minorEastAsia" w:hAnsiTheme="minorEastAsia" w:eastAsiaTheme="minorEastAsia"/>
          <w:szCs w:val="21"/>
        </w:rPr>
      </w:pPr>
      <w:r>
        <w:rPr>
          <w:rFonts w:hint="eastAsia" w:cs="Arial" w:asciiTheme="minorEastAsia" w:hAnsiTheme="minorEastAsia" w:eastAsiaTheme="minorEastAsia"/>
          <w:szCs w:val="21"/>
        </w:rPr>
        <w:t>网  址：</w:t>
      </w:r>
      <w:bookmarkEnd w:id="0"/>
      <w:r>
        <w:rPr>
          <w:rStyle w:val="14"/>
          <w:rFonts w:cs="Arial" w:asciiTheme="minorEastAsia" w:hAnsiTheme="minorEastAsia" w:eastAsiaTheme="minorEastAsia"/>
          <w:szCs w:val="21"/>
        </w:rPr>
        <w:fldChar w:fldCharType="begin"/>
      </w:r>
      <w:r>
        <w:rPr>
          <w:rStyle w:val="14"/>
          <w:rFonts w:cs="Arial" w:asciiTheme="minorEastAsia" w:hAnsiTheme="minorEastAsia" w:eastAsiaTheme="minorEastAsia"/>
          <w:szCs w:val="21"/>
        </w:rPr>
        <w:instrText xml:space="preserve"> HYPERLINK "http://www.cippe.com.cn" </w:instrText>
      </w:r>
      <w:r>
        <w:rPr>
          <w:rStyle w:val="14"/>
          <w:rFonts w:cs="Arial" w:asciiTheme="minorEastAsia" w:hAnsiTheme="minorEastAsia" w:eastAsiaTheme="minorEastAsia"/>
          <w:szCs w:val="21"/>
        </w:rPr>
        <w:fldChar w:fldCharType="separate"/>
      </w:r>
      <w:r>
        <w:rPr>
          <w:rStyle w:val="13"/>
          <w:rFonts w:cs="Arial" w:asciiTheme="minorEastAsia" w:hAnsiTheme="minorEastAsia" w:eastAsiaTheme="minorEastAsia"/>
          <w:szCs w:val="21"/>
        </w:rPr>
        <w:t>w</w:t>
      </w:r>
      <w:bookmarkStart w:id="1" w:name="_Hlt47004875"/>
      <w:bookmarkStart w:id="2" w:name="_Hlt47004876"/>
      <w:r>
        <w:rPr>
          <w:rStyle w:val="13"/>
          <w:rFonts w:cs="Arial" w:asciiTheme="minorEastAsia" w:hAnsiTheme="minorEastAsia" w:eastAsiaTheme="minorEastAsia"/>
          <w:szCs w:val="21"/>
        </w:rPr>
        <w:t>w</w:t>
      </w:r>
      <w:bookmarkEnd w:id="1"/>
      <w:bookmarkEnd w:id="2"/>
      <w:r>
        <w:rPr>
          <w:rStyle w:val="13"/>
          <w:rFonts w:cs="Arial" w:asciiTheme="minorEastAsia" w:hAnsiTheme="minorEastAsia" w:eastAsiaTheme="minorEastAsia"/>
          <w:szCs w:val="21"/>
        </w:rPr>
        <w:t>w.cippe.com.cn</w:t>
      </w:r>
      <w:r>
        <w:rPr>
          <w:rStyle w:val="14"/>
          <w:rFonts w:cs="Arial" w:asciiTheme="minorEastAsia" w:hAnsiTheme="minorEastAsia" w:eastAsiaTheme="minorEastAsia"/>
          <w:szCs w:val="21"/>
        </w:rPr>
        <w:fldChar w:fldCharType="end"/>
      </w:r>
      <w:r>
        <w:rPr>
          <w:rFonts w:hint="eastAsia" w:cs="Arial" w:asciiTheme="minorEastAsia" w:hAnsiTheme="minorEastAsia" w:eastAsiaTheme="minorEastAsia"/>
          <w:szCs w:val="21"/>
        </w:rPr>
        <w:t xml:space="preserve">      邮  箱</w:t>
      </w:r>
      <w:r>
        <w:rPr>
          <w:rFonts w:cs="Arial" w:asciiTheme="minorEastAsia" w:hAnsiTheme="minorEastAsia" w:eastAsiaTheme="minorEastAsia"/>
          <w:szCs w:val="21"/>
        </w:rPr>
        <w:t>：</w:t>
      </w:r>
      <w:r>
        <w:rPr>
          <w:rFonts w:hint="eastAsia" w:cs="Arial" w:asciiTheme="minorEastAsia" w:hAnsiTheme="minorEastAsia" w:eastAsiaTheme="minorEastAsia"/>
          <w:szCs w:val="21"/>
          <w:lang w:val="en-US" w:eastAsia="zh-CN"/>
        </w:rPr>
        <w:t>zhanghao@zhenweiexpo.com</w:t>
      </w:r>
      <w:r>
        <w:rPr>
          <w:rFonts w:hint="eastAsia" w:cs="Arial" w:asciiTheme="minorEastAsia" w:hAnsiTheme="minorEastAsia" w:eastAsiaTheme="minorEastAsia"/>
          <w:szCs w:val="21"/>
        </w:rPr>
        <w:t xml:space="preserve">     </w:t>
      </w:r>
    </w:p>
    <w:p w14:paraId="26321460">
      <w:pPr>
        <w:pStyle w:val="2"/>
        <w:keepNext w:val="0"/>
        <w:keepLines w:val="0"/>
        <w:pageBreakBefore w:val="0"/>
        <w:widowControl w:val="0"/>
        <w:kinsoku/>
        <w:wordWrap/>
        <w:overflowPunct/>
        <w:topLinePunct w:val="0"/>
        <w:autoSpaceDE/>
        <w:autoSpaceDN/>
        <w:bidi w:val="0"/>
        <w:adjustRightInd/>
        <w:snapToGrid/>
        <w:spacing w:line="380" w:lineRule="atLeast"/>
        <w:ind w:firstLine="1890" w:firstLineChars="900"/>
        <w:textAlignment w:val="auto"/>
        <w:rPr>
          <w:rFonts w:hint="eastAsia" w:cs="Arial" w:asciiTheme="minorEastAsia" w:hAnsiTheme="minorEastAsia" w:eastAsiaTheme="minorEastAsia"/>
          <w:kern w:val="2"/>
          <w:sz w:val="21"/>
          <w:szCs w:val="21"/>
          <w:lang w:val="en-US" w:eastAsia="zh-CN" w:bidi="ar-SA"/>
        </w:rPr>
      </w:pPr>
      <w:r>
        <w:rPr>
          <w:rFonts w:hint="eastAsia" w:cs="Arial" w:asciiTheme="minorEastAsia" w:hAnsiTheme="minorEastAsia" w:eastAsiaTheme="minorEastAsia"/>
          <w:kern w:val="2"/>
          <w:sz w:val="21"/>
          <w:szCs w:val="21"/>
          <w:lang w:val="en-US" w:eastAsia="zh-CN" w:bidi="ar-SA"/>
        </w:rPr>
        <w:t xml:space="preserve">联系人：张昊13521920416 </w:t>
      </w:r>
    </w:p>
    <w:p w14:paraId="4524E700">
      <w:pPr>
        <w:keepNext w:val="0"/>
        <w:keepLines w:val="0"/>
        <w:pageBreakBefore w:val="0"/>
        <w:widowControl w:val="0"/>
        <w:kinsoku/>
        <w:wordWrap/>
        <w:overflowPunct/>
        <w:topLinePunct w:val="0"/>
        <w:autoSpaceDE/>
        <w:autoSpaceDN/>
        <w:bidi w:val="0"/>
        <w:adjustRightInd/>
        <w:snapToGrid/>
        <w:spacing w:line="380" w:lineRule="atLeast"/>
        <w:textAlignment w:val="auto"/>
      </w:pPr>
      <w:r>
        <w:rPr>
          <w:rFonts w:hint="eastAsia" w:cs="Arial" w:asciiTheme="minorEastAsia" w:hAnsiTheme="minorEastAsia" w:eastAsiaTheme="minorEastAsia"/>
          <w:szCs w:val="21"/>
        </w:rPr>
        <w:br w:type="page"/>
      </w:r>
    </w:p>
    <w:p w14:paraId="3C8634D5">
      <w:pPr>
        <w:rPr>
          <w:rFonts w:ascii="Arial" w:hAnsi="Arial" w:cs="Arial"/>
          <w:sz w:val="28"/>
          <w:szCs w:val="28"/>
        </w:rPr>
      </w:pPr>
      <w:r>
        <w:rPr>
          <w:rFonts w:ascii="宋体" w:hAnsi="宋体" w:cs="宋体"/>
          <w:sz w:val="24"/>
        </w:rPr>
        <w:drawing>
          <wp:anchor distT="0" distB="0" distL="114300" distR="114300" simplePos="0" relativeHeight="251667456" behindDoc="1" locked="0" layoutInCell="1" allowOverlap="1">
            <wp:simplePos x="0" y="0"/>
            <wp:positionH relativeFrom="column">
              <wp:posOffset>-57150</wp:posOffset>
            </wp:positionH>
            <wp:positionV relativeFrom="paragraph">
              <wp:posOffset>-236220</wp:posOffset>
            </wp:positionV>
            <wp:extent cx="2103120" cy="608965"/>
            <wp:effectExtent l="0" t="0" r="11430" b="63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103120" cy="608965"/>
                    </a:xfrm>
                    <a:prstGeom prst="rect">
                      <a:avLst/>
                    </a:prstGeom>
                    <a:noFill/>
                    <a:ln w="9525">
                      <a:noFill/>
                    </a:ln>
                  </pic:spPr>
                </pic:pic>
              </a:graphicData>
            </a:graphic>
          </wp:anchor>
        </w:drawing>
      </w:r>
    </w:p>
    <w:p w14:paraId="5EBBE5CC">
      <w:pPr>
        <w:keepNext w:val="0"/>
        <w:keepLines w:val="0"/>
        <w:pageBreakBefore w:val="0"/>
        <w:widowControl w:val="0"/>
        <w:kinsoku/>
        <w:wordWrap/>
        <w:overflowPunct/>
        <w:topLinePunct w:val="0"/>
        <w:autoSpaceDE/>
        <w:autoSpaceDN/>
        <w:bidi w:val="0"/>
        <w:adjustRightInd/>
        <w:snapToGrid/>
        <w:spacing w:line="400" w:lineRule="atLeast"/>
        <w:jc w:val="center"/>
        <w:textAlignment w:val="auto"/>
        <w:rPr>
          <w:b/>
        </w:rPr>
      </w:pPr>
      <w:r>
        <w:rPr>
          <w:rFonts w:hint="eastAsia" w:ascii="Arial" w:hAnsi="Arial" w:cs="Arial"/>
          <w:b/>
          <w:sz w:val="28"/>
          <w:szCs w:val="28"/>
        </w:rPr>
        <w:t>202</w:t>
      </w:r>
      <w:r>
        <w:rPr>
          <w:rFonts w:hint="eastAsia" w:ascii="Arial" w:hAnsi="Arial" w:cs="Arial"/>
          <w:b/>
          <w:sz w:val="28"/>
          <w:szCs w:val="28"/>
          <w:lang w:val="en-US" w:eastAsia="zh-CN"/>
        </w:rPr>
        <w:t>6</w:t>
      </w:r>
      <w:r>
        <w:rPr>
          <w:rFonts w:hint="eastAsia" w:ascii="Arial" w:hAnsi="Arial" w:cs="Arial"/>
          <w:b/>
          <w:sz w:val="28"/>
          <w:szCs w:val="28"/>
        </w:rPr>
        <w:t>成都国际石油石化技术装备展览会参展申请表</w:t>
      </w:r>
      <w:r>
        <w:rPr>
          <w:rFonts w:hint="eastAsia" w:ascii="Arial" w:hAnsi="Arial" w:cs="Arial"/>
          <w:b/>
          <w:sz w:val="28"/>
          <w:szCs w:val="28"/>
          <w:lang w:val="en-US" w:eastAsia="zh-CN"/>
        </w:rPr>
        <w:t xml:space="preserve">              </w:t>
      </w:r>
      <w:r>
        <w:rPr>
          <w:rFonts w:hint="eastAsia" w:ascii="Arial" w:hAnsi="Arial" w:cs="Arial"/>
          <w:b/>
          <w:sz w:val="28"/>
          <w:szCs w:val="28"/>
        </w:rPr>
        <w:t>参展申请表</w:t>
      </w:r>
    </w:p>
    <w:p w14:paraId="6AD6C2DB">
      <w:pPr>
        <w:keepNext w:val="0"/>
        <w:keepLines w:val="0"/>
        <w:pageBreakBefore w:val="0"/>
        <w:widowControl w:val="0"/>
        <w:kinsoku/>
        <w:wordWrap/>
        <w:overflowPunct/>
        <w:topLinePunct w:val="0"/>
        <w:autoSpaceDE/>
        <w:autoSpaceDN/>
        <w:bidi w:val="0"/>
        <w:adjustRightInd/>
        <w:snapToGrid/>
        <w:spacing w:line="400" w:lineRule="atLeast"/>
        <w:jc w:val="center"/>
        <w:textAlignment w:val="auto"/>
        <w:rPr>
          <w:rFonts w:asciiTheme="minorEastAsia" w:hAnsiTheme="minorEastAsia" w:eastAsiaTheme="minorEastAsia" w:cstheme="minorEastAsia"/>
          <w:spacing w:val="20"/>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237605" cy="12065"/>
                <wp:effectExtent l="0" t="4445" r="10795" b="12065"/>
                <wp:wrapNone/>
                <wp:docPr id="7" name="直线 42"/>
                <wp:cNvGraphicFramePr/>
                <a:graphic xmlns:a="http://schemas.openxmlformats.org/drawingml/2006/main">
                  <a:graphicData uri="http://schemas.microsoft.com/office/word/2010/wordprocessingShape">
                    <wps:wsp>
                      <wps:cNvCnPr/>
                      <wps:spPr>
                        <a:xfrm flipV="1">
                          <a:off x="0" y="0"/>
                          <a:ext cx="6237605" cy="1206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2" o:spid="_x0000_s1026" o:spt="20" style="position:absolute;left:0pt;flip:y;margin-left:0pt;margin-top:0pt;height:0.95pt;width:491.15pt;z-index:251659264;mso-width-relative:page;mso-height-relative:page;" filled="f" stroked="t" coordsize="21600,21600" o:gfxdata="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dQjL3SAAAA&#10;AwEAAA8AAAAAAAAAAQAgAAAAIgAAAGRycy9kb3ducmV2LnhtbFBLAQIUABQAAAAIAIdO4kDy4IUE&#10;6gEAAN4DAAAOAAAAAAAAAAEAIAAAACEBAABkcnMvZTJvRG9jLnhtbFBLBQYAAAAABgAGAFkBAAB9&#10;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感谢贵单位参加本届展览会，敬请您用正楷字详细填写并加盖公章后传真或邮寄回组织单位。</w:t>
      </w:r>
    </w:p>
    <w:p w14:paraId="71C08F7D">
      <w:pPr>
        <w:keepNext w:val="0"/>
        <w:keepLines w:val="0"/>
        <w:pageBreakBefore w:val="0"/>
        <w:widowControl w:val="0"/>
        <w:kinsoku/>
        <w:wordWrap/>
        <w:overflowPunct/>
        <w:topLinePunct w:val="0"/>
        <w:autoSpaceDE/>
        <w:autoSpaceDN/>
        <w:bidi w:val="0"/>
        <w:adjustRightInd/>
        <w:snapToGrid/>
        <w:spacing w:line="400" w:lineRule="atLeast"/>
        <w:jc w:val="center"/>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时间：202</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21</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23</w:t>
      </w:r>
      <w:r>
        <w:rPr>
          <w:rFonts w:hint="eastAsia" w:asciiTheme="minorEastAsia" w:hAnsiTheme="minorEastAsia" w:eastAsiaTheme="minorEastAsia" w:cstheme="minorEastAsia"/>
        </w:rPr>
        <w:t>日     地点：</w:t>
      </w:r>
      <w:r>
        <w:rPr>
          <w:rFonts w:hint="eastAsia" w:asciiTheme="minorEastAsia" w:hAnsiTheme="minorEastAsia" w:eastAsiaTheme="minorEastAsia" w:cstheme="minorEastAsia"/>
          <w:szCs w:val="21"/>
        </w:rPr>
        <w:t>成都世纪城新国际会展</w:t>
      </w:r>
      <w:r>
        <w:rPr>
          <w:rFonts w:hint="eastAsia" w:asciiTheme="minorEastAsia" w:hAnsiTheme="minorEastAsia" w:eastAsiaTheme="minorEastAsia" w:cstheme="minorEastAsia"/>
          <w:szCs w:val="21"/>
          <w:lang w:val="en-US" w:eastAsia="zh-CN"/>
        </w:rPr>
        <w:t>中心</w:t>
      </w:r>
      <w:r>
        <w:rPr>
          <w:rFonts w:hint="eastAsia" w:asciiTheme="minorEastAsia" w:hAnsiTheme="minorEastAsia" w:eastAsiaTheme="minorEastAsia" w:cstheme="minorEastAsia"/>
          <w:szCs w:val="21"/>
        </w:rPr>
        <w:t>(成都市天府大道中段1号</w:t>
      </w:r>
      <w:r>
        <w:rPr>
          <w:rFonts w:hint="eastAsia" w:ascii="微软雅黑" w:hAnsi="微软雅黑" w:eastAsia="微软雅黑" w:cs="微软雅黑"/>
          <w:color w:val="333333"/>
          <w:sz w:val="19"/>
          <w:szCs w:val="19"/>
          <w:shd w:val="clear" w:color="auto" w:fill="FFFFFF"/>
        </w:rPr>
        <w:t>)</w:t>
      </w:r>
    </w:p>
    <w:p w14:paraId="6CC25117">
      <w:pPr>
        <w:keepNext w:val="0"/>
        <w:keepLines w:val="0"/>
        <w:pageBreakBefore w:val="0"/>
        <w:widowControl w:val="0"/>
        <w:kinsoku/>
        <w:wordWrap/>
        <w:overflowPunct/>
        <w:topLinePunct w:val="0"/>
        <w:autoSpaceDE/>
        <w:autoSpaceDN/>
        <w:bidi w:val="0"/>
        <w:adjustRightInd/>
        <w:snapToGrid/>
        <w:spacing w:line="340" w:lineRule="exact"/>
        <w:ind w:hanging="126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 xml:space="preserve">            公司名称（中、英文）</w:t>
      </w:r>
      <w:r>
        <w:rPr>
          <w:rFonts w:hint="eastAsia" w:asciiTheme="minorEastAsia" w:hAnsiTheme="minorEastAsia" w:eastAsiaTheme="minorEastAsia" w:cstheme="minorEastAsia"/>
          <w:u w:val="single"/>
        </w:rPr>
        <w:t xml:space="preserve">　                                                                          </w:t>
      </w:r>
    </w:p>
    <w:p w14:paraId="2362C345">
      <w:pPr>
        <w:keepNext w:val="0"/>
        <w:keepLines w:val="0"/>
        <w:pageBreakBefore w:val="0"/>
        <w:widowControl w:val="0"/>
        <w:kinsoku/>
        <w:wordWrap/>
        <w:overflowPunct/>
        <w:topLinePunct w:val="0"/>
        <w:autoSpaceDE/>
        <w:autoSpaceDN/>
        <w:bidi w:val="0"/>
        <w:adjustRightInd/>
        <w:snapToGrid/>
        <w:spacing w:line="340" w:lineRule="exact"/>
        <w:ind w:hanging="1260"/>
        <w:textAlignment w:val="auto"/>
        <w:rPr>
          <w:rFonts w:asciiTheme="minorEastAsia" w:hAnsiTheme="minorEastAsia" w:eastAsiaTheme="minorEastAsia" w:cstheme="minorEastAsia"/>
          <w:u w:val="single"/>
        </w:rPr>
      </w:pPr>
      <w:r>
        <w:rPr>
          <w:rFonts w:hint="eastAsia" w:asciiTheme="minorEastAsia" w:hAnsiTheme="minorEastAsia" w:eastAsiaTheme="minorEastAsia" w:cstheme="minorEastAsia"/>
        </w:rPr>
        <w:t>　　　      详细地址：</w:t>
      </w:r>
      <w:r>
        <w:rPr>
          <w:rFonts w:hint="eastAsia" w:asciiTheme="minorEastAsia" w:hAnsiTheme="minorEastAsia" w:eastAsiaTheme="minorEastAsia" w:cstheme="minorEastAsia"/>
          <w:u w:val="single"/>
        </w:rPr>
        <w:t xml:space="preserve">                              </w:t>
      </w:r>
      <w:bookmarkStart w:id="4" w:name="_GoBack"/>
      <w:bookmarkEnd w:id="4"/>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邮编：</w:t>
      </w:r>
      <w:r>
        <w:rPr>
          <w:rFonts w:hint="eastAsia" w:asciiTheme="minorEastAsia" w:hAnsiTheme="minorEastAsia" w:eastAsiaTheme="minorEastAsia" w:cstheme="minorEastAsia"/>
          <w:u w:val="single"/>
        </w:rPr>
        <w:t xml:space="preserve">           </w:t>
      </w:r>
    </w:p>
    <w:p w14:paraId="0735A496">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u w:val="single"/>
        </w:rPr>
      </w:pPr>
      <w:r>
        <w:rPr>
          <w:rFonts w:hint="eastAsia" w:asciiTheme="minorEastAsia" w:hAnsiTheme="minorEastAsia" w:eastAsiaTheme="minorEastAsia" w:cstheme="minorEastAsia"/>
        </w:rPr>
        <w:t>联系人：</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电话：</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传真：</w:t>
      </w:r>
      <w:r>
        <w:rPr>
          <w:rFonts w:hint="eastAsia" w:asciiTheme="minorEastAsia" w:hAnsiTheme="minorEastAsia" w:eastAsiaTheme="minorEastAsia" w:cstheme="minorEastAsia"/>
          <w:u w:val="single"/>
        </w:rPr>
        <w:t xml:space="preserve">                        </w:t>
      </w:r>
    </w:p>
    <w:p w14:paraId="4C076CFB">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u w:val="single"/>
        </w:rPr>
      </w:pPr>
      <w:r>
        <w:rPr>
          <w:rFonts w:hint="eastAsia" w:asciiTheme="minorEastAsia" w:hAnsiTheme="minorEastAsia" w:eastAsiaTheme="minorEastAsia" w:cstheme="minorEastAsia"/>
        </w:rPr>
        <w:t>手机号：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电子信箱：</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网址：</w:t>
      </w:r>
      <w:r>
        <w:rPr>
          <w:rFonts w:hint="eastAsia" w:asciiTheme="minorEastAsia" w:hAnsiTheme="minorEastAsia" w:eastAsiaTheme="minorEastAsia" w:cstheme="minorEastAsia"/>
          <w:u w:val="single"/>
        </w:rPr>
        <w:t xml:space="preserve">                        </w:t>
      </w:r>
    </w:p>
    <w:p w14:paraId="69D686C1">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sz w:val="22"/>
          <w:szCs w:val="22"/>
          <w:u w:val="single"/>
        </w:rPr>
      </w:pPr>
      <w:r>
        <w:rPr>
          <w:rFonts w:hint="eastAsia" w:asciiTheme="minorEastAsia" w:hAnsiTheme="minorEastAsia" w:eastAsiaTheme="minorEastAsia" w:cstheme="minorEastAsia"/>
        </w:rPr>
        <w:t>展示的产品或技术</w:t>
      </w:r>
      <w:r>
        <w:rPr>
          <w:rFonts w:hint="eastAsia" w:asciiTheme="minorEastAsia" w:hAnsiTheme="minorEastAsia" w:eastAsiaTheme="minorEastAsia" w:cstheme="minorEastAsia"/>
          <w:sz w:val="22"/>
          <w:szCs w:val="22"/>
        </w:rPr>
        <w:t>（中、英文）：</w:t>
      </w:r>
      <w:r>
        <w:rPr>
          <w:rFonts w:hint="eastAsia" w:asciiTheme="minorEastAsia" w:hAnsiTheme="minorEastAsia" w:eastAsiaTheme="minorEastAsia" w:cstheme="minorEastAsia"/>
          <w:sz w:val="22"/>
          <w:szCs w:val="22"/>
          <w:u w:val="single"/>
        </w:rPr>
        <w:t xml:space="preserve">        　                            　　　　　　　　    　   </w:t>
      </w:r>
    </w:p>
    <w:p w14:paraId="554FB9DC">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sz w:val="22"/>
          <w:szCs w:val="22"/>
          <w:u w:val="single"/>
        </w:rPr>
      </w:pPr>
      <w:r>
        <w:rPr>
          <w:rFonts w:ascii="Arial" w:hAnsi="Arial" w:cs="Arial"/>
        </w:rPr>
        <w:t>■</w:t>
      </w:r>
      <w:r>
        <w:rPr>
          <w:rFonts w:hint="eastAsia" w:asciiTheme="minorEastAsia" w:hAnsiTheme="minorEastAsia" w:eastAsiaTheme="minorEastAsia" w:cstheme="minorEastAsia"/>
        </w:rPr>
        <w:t xml:space="preserve"> 参展方式及费用</w:t>
      </w:r>
      <w:r>
        <w:rPr>
          <w:rFonts w:hint="eastAsia" w:asciiTheme="minorEastAsia" w:hAnsiTheme="minorEastAsia" w:eastAsiaTheme="minorEastAsia" w:cstheme="minorEastAsia"/>
          <w:b/>
        </w:rPr>
        <w:t>（所有报价均未含增值税）</w:t>
      </w:r>
    </w:p>
    <w:p w14:paraId="5F8D4A36">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标准展位：国际标展：21,800</w:t>
      </w:r>
      <w:r>
        <w:rPr>
          <w:rFonts w:hint="eastAsia" w:asciiTheme="minorEastAsia" w:hAnsiTheme="minorEastAsia" w:eastAsiaTheme="minorEastAsia" w:cstheme="minorEastAsia"/>
          <w:bCs/>
        </w:rPr>
        <w:t>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w:t>
      </w:r>
    </w:p>
    <w:p w14:paraId="06BFA24B">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bCs/>
        </w:rPr>
        <w:t xml:space="preserve">             国内标展：1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；豪华标展：</w:t>
      </w:r>
      <w:r>
        <w:rPr>
          <w:rFonts w:hint="eastAsia" w:asciiTheme="minorEastAsia" w:hAnsiTheme="minorEastAsia" w:eastAsiaTheme="minorEastAsia" w:cstheme="minorEastAsia"/>
          <w:bCs/>
        </w:rPr>
        <w:t>16,800元/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p>
    <w:p w14:paraId="43A9CDFC">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 xml:space="preserve">   空 场 地：国际展区：2,180元/平米；</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00元/平米（36</w:t>
      </w:r>
      <w:r>
        <w:rPr>
          <w:rFonts w:hint="eastAsia" w:asciiTheme="minorEastAsia" w:hAnsiTheme="minorEastAsia" w:eastAsiaTheme="minorEastAsia" w:cstheme="minorEastAsia"/>
        </w:rPr>
        <w:t xml:space="preserve"> 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bCs/>
        </w:rPr>
        <w:t>起租）</w:t>
      </w:r>
    </w:p>
    <w:p w14:paraId="2DD048A8">
      <w:pPr>
        <w:keepNext w:val="0"/>
        <w:keepLines w:val="0"/>
        <w:pageBreakBefore w:val="0"/>
        <w:widowControl w:val="0"/>
        <w:kinsoku/>
        <w:wordWrap/>
        <w:overflowPunct/>
        <w:topLinePunct w:val="0"/>
        <w:autoSpaceDE/>
        <w:autoSpaceDN/>
        <w:bidi w:val="0"/>
        <w:adjustRightInd/>
        <w:snapToGrid/>
        <w:spacing w:line="340" w:lineRule="exact"/>
        <w:ind w:firstLine="315" w:firstLineChars="15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选择空场地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个；展位号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3AEE1B30">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会刊广告：</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封  面  ￥25,000元</w:t>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封  二  ￥15,000元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扉    页  ￥18,000元</w:t>
      </w:r>
    </w:p>
    <w:p w14:paraId="0CA07088">
      <w:pPr>
        <w:keepNext w:val="0"/>
        <w:keepLines w:val="0"/>
        <w:pageBreakBefore w:val="0"/>
        <w:widowControl w:val="0"/>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封  底  ￥20,000元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封  三  ￥15,000元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彩色内页  ￥8,000元</w:t>
      </w:r>
    </w:p>
    <w:p w14:paraId="5F6338AD">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技术讲座：15,000元/场  选择</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场，主讲人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4E3A5FAD">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会务费：1,200元/人（包括展会资料、午餐、水、答谢晚宴、礼品等）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4D842525">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媒体宣传：</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rPr>
        <w:t>展前宣传2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rPr>
        <w:t>展中宣传7</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rPr>
        <w:t>展后宣传2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none"/>
          <w:lang w:val="en-US" w:eastAsia="zh-CN"/>
        </w:rPr>
        <w:t>次，</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21D3A14D">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pPr>
      <w:r>
        <w:rPr>
          <w:rFonts w:hint="eastAsia" w:asciiTheme="minorEastAsia" w:hAnsiTheme="minorEastAsia" w:eastAsiaTheme="minorEastAsia" w:cstheme="minorEastAsia"/>
        </w:rPr>
        <w:t>摄影摄像服务：摄影、摄像</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000元/天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天，费用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4DEBB8F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sz w:val="11"/>
          <w:szCs w:val="15"/>
          <w:lang w:val="en-US" w:eastAsia="zh-CN"/>
        </w:rPr>
      </w:pPr>
      <w:r>
        <w:rPr>
          <w:rFonts w:hint="eastAsia" w:asciiTheme="minorEastAsia" w:hAnsiTheme="minorEastAsia" w:eastAsiaTheme="minorEastAsia" w:cstheme="minorEastAsia"/>
        </w:rPr>
        <w:t>展会直播：</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rPr>
        <w:t>探馆直播（</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-20分钟）2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rPr>
        <w:t>专场直播</w:t>
      </w:r>
      <w:r>
        <w:rPr>
          <w:rFonts w:hint="eastAsia" w:asciiTheme="minorEastAsia" w:hAnsiTheme="minorEastAsia" w:eastAsiaTheme="minorEastAsia" w:cstheme="minorEastAsia"/>
          <w:lang w:val="en-US" w:eastAsia="zh-CN"/>
        </w:rPr>
        <w:t>50,000</w:t>
      </w:r>
      <w:r>
        <w:rPr>
          <w:rFonts w:hint="eastAsia" w:asciiTheme="minorEastAsia" w:hAnsiTheme="minorEastAsia" w:eastAsiaTheme="minorEastAsia" w:cstheme="minorEastAsia"/>
        </w:rPr>
        <w:t xml:space="preserve">元起/场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none"/>
          <w:lang w:val="en-US" w:eastAsia="zh-CN"/>
        </w:rPr>
        <w:t>元；</w:t>
      </w:r>
    </w:p>
    <w:p w14:paraId="19704B83">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420" w:leftChars="0" w:hanging="42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以上参展费用的总金额为人民币:(小写)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元整，(大写)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整。</w:t>
      </w:r>
    </w:p>
    <w:p w14:paraId="225612E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color w:val="auto"/>
          <w:highlight w:val="none"/>
        </w:rPr>
        <w:t>其中不含税金额为人民币:(小写)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元整，税率为:</w:t>
      </w:r>
      <w:r>
        <w:rPr>
          <w:rFonts w:hint="eastAsia" w:asciiTheme="minorEastAsia" w:hAnsiTheme="minorEastAsia" w:eastAsiaTheme="minorEastAsia" w:cstheme="minorEastAsia"/>
          <w:color w:val="auto"/>
          <w:highlight w:val="none"/>
          <w:u w:val="single"/>
          <w:lang w:val="en-US" w:eastAsia="zh-CN"/>
        </w:rPr>
        <w:t xml:space="preserve">  6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%，税金为人民币:(小写)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w:t>
      </w:r>
      <w:r>
        <w:rPr>
          <w:rFonts w:hint="eastAsia" w:asciiTheme="minorEastAsia" w:hAnsiTheme="minorEastAsia" w:eastAsiaTheme="minorEastAsia" w:cstheme="minorEastAsia"/>
          <w:color w:val="FF0000"/>
          <w:highlight w:val="none"/>
          <w:lang w:val="en-US" w:eastAsia="zh-CN"/>
        </w:rPr>
        <w:t xml:space="preserve">   </w:t>
      </w:r>
      <w:r>
        <w:rPr>
          <w:rFonts w:hint="eastAsia" w:asciiTheme="minorEastAsia" w:hAnsiTheme="minorEastAsia" w:eastAsiaTheme="minorEastAsia" w:cstheme="minorEastAsia"/>
          <w:kern w:val="0"/>
          <w:szCs w:val="21"/>
        </w:rPr>
        <w:t>付款日期：</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月</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日</w:t>
      </w:r>
    </w:p>
    <w:p w14:paraId="617A1B21">
      <w:pPr>
        <w:pStyle w:val="2"/>
        <w:keepNext w:val="0"/>
        <w:keepLines w:val="0"/>
        <w:pageBreakBefore w:val="0"/>
        <w:widowControl w:val="0"/>
        <w:numPr>
          <w:ilvl w:val="0"/>
          <w:numId w:val="2"/>
        </w:numPr>
        <w:kinsoku/>
        <w:wordWrap/>
        <w:overflowPunct/>
        <w:topLinePunct w:val="0"/>
        <w:autoSpaceDE/>
        <w:autoSpaceDN/>
        <w:bidi w:val="0"/>
        <w:adjustRightInd/>
        <w:snapToGrid/>
        <w:spacing w:line="340" w:lineRule="exact"/>
        <w:ind w:left="420" w:leftChars="0" w:hanging="420" w:firstLineChars="0"/>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drawing>
          <wp:anchor distT="0" distB="0" distL="114935" distR="114935" simplePos="0" relativeHeight="251668480" behindDoc="1" locked="0" layoutInCell="1" allowOverlap="1">
            <wp:simplePos x="0" y="0"/>
            <wp:positionH relativeFrom="column">
              <wp:posOffset>795655</wp:posOffset>
            </wp:positionH>
            <wp:positionV relativeFrom="paragraph">
              <wp:posOffset>784225</wp:posOffset>
            </wp:positionV>
            <wp:extent cx="1485900" cy="1485900"/>
            <wp:effectExtent l="0" t="0" r="0" b="0"/>
            <wp:wrapNone/>
            <wp:docPr id="2" name="图片 2" descr="1a43952767d8e4c3c9806a8ce619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a43952767d8e4c3c9806a8ce6192c0"/>
                    <pic:cNvPicPr>
                      <a:picLocks noChangeAspect="1"/>
                    </pic:cNvPicPr>
                  </pic:nvPicPr>
                  <pic:blipFill>
                    <a:blip r:embed="rId6"/>
                    <a:stretch>
                      <a:fillRect/>
                    </a:stretch>
                  </pic:blipFill>
                  <pic:spPr>
                    <a:xfrm>
                      <a:off x="0" y="0"/>
                      <a:ext cx="1485900" cy="1485900"/>
                    </a:xfrm>
                    <a:prstGeom prst="rect">
                      <a:avLst/>
                    </a:prstGeom>
                  </pic:spPr>
                </pic:pic>
              </a:graphicData>
            </a:graphic>
          </wp:anchor>
        </w:drawing>
      </w:r>
      <w:r>
        <w:rPr>
          <w:rFonts w:hint="eastAsia" w:asciiTheme="minorEastAsia" w:hAnsiTheme="minorEastAsia" w:eastAsiaTheme="minorEastAsia" w:cstheme="minorEastAsia"/>
          <w:kern w:val="2"/>
          <w:sz w:val="21"/>
          <w:szCs w:val="24"/>
          <w:lang w:val="en-US" w:eastAsia="zh-CN" w:bidi="ar-SA"/>
        </w:rPr>
        <w:t>特别约定：1.报名后十个工作日之内请将参展费用一次性汇入组织单位指定帐户；2.组织单位以收到全部参展费用为最终确认参展商展出资格；3.已报名参展企业因自身原因不能按时参展的，同意已缴纳的全部费用不作返还；4.参展产品需符合展会参展范围和主题，展商保证其提供的图片、文字等全部内容不侵犯他人知识产权，否则自愿承担全部法律责任，同时承担由此给组织单位带来的损失；5.为保障2026年石油展搭建质量，请各参展商选择主办方指定搭建商搭建贵司展台，除指定搭建商外不允许任何搭建公司进入场馆。</w:t>
      </w:r>
    </w:p>
    <w:p w14:paraId="0DBFF52D">
      <w:pPr>
        <w:pStyle w:val="2"/>
        <w:keepNext w:val="0"/>
        <w:keepLines w:val="0"/>
        <w:pageBreakBefore w:val="0"/>
        <w:widowControl w:val="0"/>
        <w:kinsoku/>
        <w:wordWrap/>
        <w:overflowPunct/>
        <w:topLinePunct w:val="0"/>
        <w:autoSpaceDE/>
        <w:autoSpaceDN/>
        <w:bidi w:val="0"/>
        <w:adjustRightInd/>
        <w:snapToGrid/>
        <w:spacing w:line="420" w:lineRule="atLeast"/>
        <w:ind w:left="0" w:leftChars="0" w:firstLine="0" w:firstLineChars="0"/>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kern w:val="2"/>
          <w:sz w:val="21"/>
          <w:szCs w:val="24"/>
          <w:lang w:val="en-US" w:eastAsia="zh-CN" w:bidi="ar-SA"/>
        </w:rPr>
        <w:t>账户：北京振威展览有限公司   账号：1100 1018 5000 5300 5496   开户行：建行北京安慧支行</w:t>
      </w:r>
    </w:p>
    <w:p w14:paraId="3D10119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组织单位：振威国际会展集团  北京振威展览有限公司</w:t>
      </w:r>
    </w:p>
    <w:p w14:paraId="598D0BA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rPr>
        <w:t>地  址：</w:t>
      </w:r>
      <w:r>
        <w:rPr>
          <w:rFonts w:hint="eastAsia" w:asciiTheme="minorEastAsia" w:hAnsiTheme="minorEastAsia" w:eastAsiaTheme="minorEastAsia" w:cstheme="minorEastAsia"/>
          <w:szCs w:val="21"/>
        </w:rPr>
        <w:t>北京市通州区经海五路1号院国际</w:t>
      </w:r>
    </w:p>
    <w:p w14:paraId="75A2097F">
      <w:pPr>
        <w:keepNext w:val="0"/>
        <w:keepLines w:val="0"/>
        <w:pageBreakBefore w:val="0"/>
        <w:widowControl w:val="0"/>
        <w:kinsoku/>
        <w:wordWrap/>
        <w:overflowPunct/>
        <w:topLinePunct w:val="0"/>
        <w:autoSpaceDE/>
        <w:autoSpaceDN/>
        <w:bidi w:val="0"/>
        <w:adjustRightInd/>
        <w:snapToGrid/>
        <w:spacing w:line="340" w:lineRule="exact"/>
        <w:ind w:firstLine="840" w:firstLineChars="400"/>
        <w:textAlignment w:val="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u w:val="single"/>
        </w:rPr>
        <mc:AlternateContent>
          <mc:Choice Requires="wps">
            <w:drawing>
              <wp:anchor distT="0" distB="0" distL="114300" distR="114300" simplePos="0" relativeHeight="251666432" behindDoc="0" locked="0" layoutInCell="1" allowOverlap="1">
                <wp:simplePos x="0" y="0"/>
                <wp:positionH relativeFrom="column">
                  <wp:posOffset>4000500</wp:posOffset>
                </wp:positionH>
                <wp:positionV relativeFrom="paragraph">
                  <wp:posOffset>19050</wp:posOffset>
                </wp:positionV>
                <wp:extent cx="2171700" cy="5080"/>
                <wp:effectExtent l="0" t="4445" r="0" b="9525"/>
                <wp:wrapNone/>
                <wp:docPr id="8" name="直线 40"/>
                <wp:cNvGraphicFramePr/>
                <a:graphic xmlns:a="http://schemas.openxmlformats.org/drawingml/2006/main">
                  <a:graphicData uri="http://schemas.microsoft.com/office/word/2010/wordprocessingShape">
                    <wps:wsp>
                      <wps:cNvCnPr/>
                      <wps:spPr>
                        <a:xfrm flipV="1">
                          <a:off x="0" y="0"/>
                          <a:ext cx="2171700" cy="50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0" o:spid="_x0000_s1026" o:spt="20" style="position:absolute;left:0pt;flip:y;margin-left:315pt;margin-top:1.5pt;height:0.4pt;width:171pt;z-index:251666432;mso-width-relative:page;mso-height-relative:page;" filled="f" stroked="t" coordsize="21600,21600" o:gfxdata="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Ime7rV&#10;AAAABwEAAA8AAAAAAAAAAQAgAAAAIgAAAGRycy9kb3ducmV2LnhtbFBLAQIUABQAAAAIAIdO4kBU&#10;ZIt86gEAAN0DAAAOAAAAAAAAAAEAIAAAACQBAABkcnMvZTJvRG9jLnhtbFBLBQYAAAAABgAGAFkB&#10;AACA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Cs w:val="21"/>
        </w:rPr>
        <w:t>企业大道III13号楼振威展览大厦</w:t>
      </w:r>
    </w:p>
    <w:p w14:paraId="2F32184E">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电  话：010-</w:t>
      </w:r>
      <w:r>
        <w:rPr>
          <w:rFonts w:hint="eastAsia" w:asciiTheme="minorEastAsia" w:hAnsiTheme="minorEastAsia" w:eastAsiaTheme="minorEastAsia" w:cstheme="minorEastAsia"/>
          <w:lang w:val="en-US" w:eastAsia="zh-CN"/>
        </w:rPr>
        <w:t xml:space="preserve">5617 6963   </w:t>
      </w:r>
      <w:r>
        <w:rPr>
          <w:rFonts w:hint="eastAsia" w:asciiTheme="minorEastAsia" w:hAnsiTheme="minorEastAsia" w:eastAsiaTheme="minorEastAsia" w:cstheme="minorEastAsia"/>
        </w:rPr>
        <w:t xml:space="preserve">  传  真：010-</w:t>
      </w:r>
      <w:r>
        <w:rPr>
          <w:rFonts w:hint="eastAsia" w:asciiTheme="minorEastAsia" w:hAnsiTheme="minorEastAsia" w:eastAsiaTheme="minorEastAsia" w:cstheme="minorEastAsia"/>
          <w:lang w:val="en-US" w:eastAsia="zh-CN"/>
        </w:rPr>
        <w:t xml:space="preserve">5617 6998                  </w:t>
      </w:r>
      <w:r>
        <w:rPr>
          <w:rFonts w:hint="eastAsia" w:asciiTheme="minorEastAsia" w:hAnsiTheme="minorEastAsia" w:eastAsiaTheme="minorEastAsia" w:cstheme="minorEastAsia"/>
        </w:rPr>
        <w:t>参展单位印鉴及负责人签名</w:t>
      </w:r>
    </w:p>
    <w:p w14:paraId="362BA878">
      <w:pPr>
        <w:keepNext w:val="0"/>
        <w:keepLines w:val="0"/>
        <w:pageBreakBefore w:val="0"/>
        <w:widowControl w:val="0"/>
        <w:numPr>
          <w:ilvl w:val="0"/>
          <w:numId w:val="3"/>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mail：</w:t>
      </w:r>
      <w:bookmarkStart w:id="3" w:name="OLE_LINK1"/>
      <w:r>
        <w:rPr>
          <w:rFonts w:hint="eastAsia" w:asciiTheme="minorEastAsia" w:hAnsiTheme="minorEastAsia" w:eastAsiaTheme="minorEastAsia" w:cstheme="minorEastAsia"/>
          <w:lang w:val="en-US" w:eastAsia="zh-CN"/>
        </w:rPr>
        <w:t>zhanghao@zhenweiexpo.com</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年   月   日</w:t>
      </w:r>
      <w:bookmarkEnd w:id="3"/>
    </w:p>
    <w:p w14:paraId="2397FFCA">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rPr>
        <w:t>联系人：</w:t>
      </w:r>
      <w:r>
        <w:rPr>
          <w:rFonts w:hint="eastAsia" w:asciiTheme="minorEastAsia" w:hAnsiTheme="minorEastAsia" w:eastAsiaTheme="minorEastAsia" w:cstheme="minorEastAsia"/>
          <w:szCs w:val="21"/>
          <w:lang w:val="en-US" w:eastAsia="zh-CN"/>
        </w:rPr>
        <w:t>张昊13521920416</w:t>
      </w:r>
    </w:p>
    <w:p w14:paraId="1BFE6E2C">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br w:type="page"/>
      </w:r>
    </w:p>
    <w:p w14:paraId="262F5DBF">
      <w:pPr>
        <w:pStyle w:val="8"/>
      </w:pPr>
      <w:r>
        <w:rPr>
          <w:rFonts w:hint="eastAsia" w:asciiTheme="minorEastAsia" w:hAnsiTheme="minorEastAsia" w:eastAsiaTheme="minorEastAsia" w:cstheme="minorEastAsia"/>
          <w:szCs w:val="21"/>
        </w:rPr>
        <w:t xml:space="preserve">       </w:t>
      </w:r>
      <w:r>
        <w:t>cippe20</w:t>
      </w:r>
      <w:r>
        <w:rPr>
          <w:rFonts w:hint="eastAsia"/>
          <w:lang w:val="en-US" w:eastAsia="zh-CN"/>
        </w:rPr>
        <w:t>26成都展</w:t>
      </w:r>
      <w:r>
        <w:rPr>
          <w:rFonts w:hint="eastAsia"/>
        </w:rPr>
        <w:t>特邀观众申请表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5"/>
        <w:gridCol w:w="998"/>
        <w:gridCol w:w="1458"/>
        <w:gridCol w:w="2456"/>
        <w:gridCol w:w="2458"/>
      </w:tblGrid>
      <w:tr w14:paraId="3DA4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vMerge w:val="restart"/>
            <w:tcBorders>
              <w:top w:val="single" w:color="auto" w:sz="4" w:space="0"/>
              <w:left w:val="single" w:color="auto" w:sz="4" w:space="0"/>
              <w:right w:val="single" w:color="auto" w:sz="4" w:space="0"/>
            </w:tcBorders>
            <w:noWrap w:val="0"/>
            <w:vAlign w:val="center"/>
          </w:tcPr>
          <w:p w14:paraId="49B608E9">
            <w:pPr>
              <w:jc w:val="center"/>
              <w:rPr>
                <w:color w:val="auto"/>
                <w:sz w:val="28"/>
                <w:szCs w:val="28"/>
              </w:rPr>
            </w:pPr>
            <w:r>
              <w:rPr>
                <w:rFonts w:hint="eastAsia"/>
                <w:color w:val="auto"/>
                <w:sz w:val="28"/>
                <w:szCs w:val="28"/>
              </w:rPr>
              <w:t>展商名称</w:t>
            </w:r>
          </w:p>
        </w:tc>
        <w:tc>
          <w:tcPr>
            <w:tcW w:w="998" w:type="dxa"/>
            <w:tcBorders>
              <w:top w:val="single" w:color="auto" w:sz="4" w:space="0"/>
              <w:left w:val="single" w:color="auto" w:sz="4" w:space="0"/>
              <w:bottom w:val="single" w:color="auto" w:sz="4" w:space="0"/>
              <w:right w:val="single" w:color="auto" w:sz="4" w:space="0"/>
            </w:tcBorders>
            <w:noWrap w:val="0"/>
            <w:vAlign w:val="top"/>
          </w:tcPr>
          <w:p w14:paraId="685F9E27">
            <w:pPr>
              <w:rPr>
                <w:rFonts w:hint="eastAsia" w:eastAsia="宋体"/>
                <w:color w:val="auto"/>
                <w:sz w:val="28"/>
                <w:szCs w:val="28"/>
                <w:lang w:eastAsia="zh-CN"/>
              </w:rPr>
            </w:pPr>
            <w:r>
              <w:rPr>
                <w:rFonts w:hint="eastAsia"/>
                <w:color w:val="auto"/>
                <w:sz w:val="28"/>
                <w:szCs w:val="28"/>
                <w:lang w:eastAsia="zh-CN"/>
              </w:rPr>
              <w:t>中文</w:t>
            </w:r>
          </w:p>
        </w:tc>
        <w:tc>
          <w:tcPr>
            <w:tcW w:w="6372" w:type="dxa"/>
            <w:gridSpan w:val="3"/>
            <w:tcBorders>
              <w:top w:val="single" w:color="auto" w:sz="4" w:space="0"/>
              <w:left w:val="single" w:color="auto" w:sz="4" w:space="0"/>
              <w:bottom w:val="single" w:color="auto" w:sz="4" w:space="0"/>
              <w:right w:val="single" w:color="auto" w:sz="4" w:space="0"/>
            </w:tcBorders>
            <w:noWrap w:val="0"/>
            <w:vAlign w:val="top"/>
          </w:tcPr>
          <w:p w14:paraId="0B5944D5">
            <w:pPr>
              <w:rPr>
                <w:color w:val="auto"/>
                <w:sz w:val="28"/>
                <w:szCs w:val="28"/>
              </w:rPr>
            </w:pPr>
          </w:p>
        </w:tc>
      </w:tr>
      <w:tr w14:paraId="3E4B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vMerge w:val="continue"/>
            <w:tcBorders>
              <w:left w:val="single" w:color="auto" w:sz="4" w:space="0"/>
              <w:bottom w:val="single" w:color="auto" w:sz="4" w:space="0"/>
              <w:right w:val="single" w:color="auto" w:sz="4" w:space="0"/>
            </w:tcBorders>
            <w:noWrap w:val="0"/>
            <w:vAlign w:val="top"/>
          </w:tcPr>
          <w:p w14:paraId="328F8660">
            <w:pPr>
              <w:jc w:val="center"/>
              <w:rPr>
                <w:color w:val="auto"/>
                <w:sz w:val="28"/>
                <w:szCs w:val="28"/>
              </w:rPr>
            </w:pPr>
          </w:p>
        </w:tc>
        <w:tc>
          <w:tcPr>
            <w:tcW w:w="998" w:type="dxa"/>
            <w:tcBorders>
              <w:top w:val="single" w:color="auto" w:sz="4" w:space="0"/>
              <w:left w:val="single" w:color="auto" w:sz="4" w:space="0"/>
              <w:bottom w:val="single" w:color="auto" w:sz="4" w:space="0"/>
              <w:right w:val="single" w:color="auto" w:sz="4" w:space="0"/>
            </w:tcBorders>
            <w:noWrap w:val="0"/>
            <w:vAlign w:val="top"/>
          </w:tcPr>
          <w:p w14:paraId="42FE6115">
            <w:pPr>
              <w:rPr>
                <w:rFonts w:hint="eastAsia" w:eastAsia="宋体"/>
                <w:color w:val="auto"/>
                <w:sz w:val="28"/>
                <w:szCs w:val="28"/>
                <w:lang w:eastAsia="zh-CN"/>
              </w:rPr>
            </w:pPr>
            <w:r>
              <w:rPr>
                <w:rFonts w:hint="eastAsia"/>
                <w:color w:val="auto"/>
                <w:sz w:val="28"/>
                <w:szCs w:val="28"/>
                <w:lang w:eastAsia="zh-CN"/>
              </w:rPr>
              <w:t>英文</w:t>
            </w:r>
          </w:p>
        </w:tc>
        <w:tc>
          <w:tcPr>
            <w:tcW w:w="6372" w:type="dxa"/>
            <w:gridSpan w:val="3"/>
            <w:tcBorders>
              <w:top w:val="single" w:color="auto" w:sz="4" w:space="0"/>
              <w:left w:val="single" w:color="auto" w:sz="4" w:space="0"/>
              <w:bottom w:val="single" w:color="auto" w:sz="4" w:space="0"/>
              <w:right w:val="single" w:color="auto" w:sz="4" w:space="0"/>
            </w:tcBorders>
            <w:noWrap w:val="0"/>
            <w:vAlign w:val="top"/>
          </w:tcPr>
          <w:p w14:paraId="056976CB">
            <w:pPr>
              <w:rPr>
                <w:color w:val="auto"/>
                <w:sz w:val="28"/>
                <w:szCs w:val="28"/>
              </w:rPr>
            </w:pPr>
          </w:p>
        </w:tc>
      </w:tr>
      <w:tr w14:paraId="158F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tcBorders>
              <w:top w:val="single" w:color="auto" w:sz="4" w:space="0"/>
              <w:left w:val="single" w:color="auto" w:sz="4" w:space="0"/>
              <w:bottom w:val="single" w:color="auto" w:sz="4" w:space="0"/>
              <w:right w:val="single" w:color="auto" w:sz="4" w:space="0"/>
            </w:tcBorders>
            <w:noWrap w:val="0"/>
            <w:vAlign w:val="top"/>
          </w:tcPr>
          <w:p w14:paraId="2F51EB0E">
            <w:pPr>
              <w:jc w:val="center"/>
              <w:rPr>
                <w:rFonts w:hint="eastAsia" w:eastAsia="宋体"/>
                <w:color w:val="auto"/>
                <w:sz w:val="28"/>
                <w:szCs w:val="28"/>
                <w:lang w:eastAsia="zh-CN"/>
              </w:rPr>
            </w:pPr>
            <w:r>
              <w:rPr>
                <w:rFonts w:hint="eastAsia"/>
                <w:color w:val="auto"/>
                <w:sz w:val="28"/>
                <w:szCs w:val="28"/>
                <w:lang w:eastAsia="zh-CN"/>
              </w:rPr>
              <w:t>公司官网</w:t>
            </w: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14:paraId="6BFCD2B0">
            <w:pPr>
              <w:rPr>
                <w:color w:val="auto"/>
                <w:sz w:val="28"/>
                <w:szCs w:val="28"/>
              </w:rPr>
            </w:pPr>
          </w:p>
        </w:tc>
      </w:tr>
      <w:tr w14:paraId="583A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2555" w:type="dxa"/>
            <w:tcBorders>
              <w:top w:val="single" w:color="auto" w:sz="4" w:space="0"/>
              <w:left w:val="single" w:color="auto" w:sz="4" w:space="0"/>
              <w:bottom w:val="single" w:color="auto" w:sz="4" w:space="0"/>
              <w:right w:val="single" w:color="auto" w:sz="4" w:space="0"/>
            </w:tcBorders>
            <w:noWrap w:val="0"/>
            <w:vAlign w:val="center"/>
          </w:tcPr>
          <w:p w14:paraId="490B3451">
            <w:pPr>
              <w:jc w:val="center"/>
              <w:rPr>
                <w:rFonts w:hint="eastAsia"/>
                <w:color w:val="auto"/>
                <w:sz w:val="28"/>
                <w:szCs w:val="28"/>
              </w:rPr>
            </w:pPr>
          </w:p>
          <w:p w14:paraId="32DFA29C">
            <w:pPr>
              <w:jc w:val="center"/>
              <w:rPr>
                <w:color w:val="auto"/>
                <w:sz w:val="28"/>
                <w:szCs w:val="28"/>
              </w:rPr>
            </w:pPr>
            <w:r>
              <w:rPr>
                <w:rFonts w:hint="eastAsia"/>
                <w:color w:val="auto"/>
                <w:sz w:val="28"/>
                <w:szCs w:val="28"/>
              </w:rPr>
              <w:t>主营产品、技术</w:t>
            </w:r>
          </w:p>
          <w:p w14:paraId="28F38936">
            <w:pPr>
              <w:jc w:val="center"/>
              <w:rPr>
                <w:color w:val="auto"/>
                <w:sz w:val="24"/>
                <w:szCs w:val="24"/>
              </w:rPr>
            </w:pPr>
            <w:r>
              <w:rPr>
                <w:rFonts w:hint="eastAsia"/>
                <w:color w:val="auto"/>
                <w:sz w:val="24"/>
                <w:szCs w:val="24"/>
              </w:rPr>
              <w:t>（中、英文）</w:t>
            </w:r>
          </w:p>
          <w:p w14:paraId="65637A83">
            <w:pPr>
              <w:jc w:val="center"/>
              <w:rPr>
                <w:color w:val="auto"/>
                <w:sz w:val="28"/>
                <w:szCs w:val="28"/>
              </w:rPr>
            </w:pP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14:paraId="3CA4EEE7">
            <w:pPr>
              <w:rPr>
                <w:color w:val="auto"/>
                <w:sz w:val="28"/>
                <w:szCs w:val="28"/>
              </w:rPr>
            </w:pPr>
          </w:p>
        </w:tc>
      </w:tr>
      <w:tr w14:paraId="7F64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555" w:type="dxa"/>
            <w:tcBorders>
              <w:top w:val="single" w:color="auto" w:sz="4" w:space="0"/>
              <w:left w:val="single" w:color="auto" w:sz="4" w:space="0"/>
              <w:bottom w:val="single" w:color="auto" w:sz="4" w:space="0"/>
              <w:right w:val="single" w:color="auto" w:sz="4" w:space="0"/>
            </w:tcBorders>
            <w:noWrap w:val="0"/>
            <w:vAlign w:val="top"/>
          </w:tcPr>
          <w:p w14:paraId="7C7C0A22">
            <w:pPr>
              <w:rPr>
                <w:rFonts w:hint="eastAsia" w:eastAsia="宋体"/>
                <w:color w:val="auto"/>
                <w:sz w:val="24"/>
                <w:szCs w:val="24"/>
                <w:lang w:eastAsia="zh-CN"/>
              </w:rPr>
            </w:pPr>
            <w:r>
              <w:rPr>
                <w:rFonts w:hint="eastAsia"/>
                <w:color w:val="auto"/>
                <w:sz w:val="28"/>
                <w:szCs w:val="28"/>
              </w:rPr>
              <w:t>计划展出</w:t>
            </w:r>
            <w:r>
              <w:rPr>
                <w:rFonts w:hint="eastAsia"/>
                <w:color w:val="auto"/>
                <w:sz w:val="28"/>
                <w:szCs w:val="28"/>
                <w:lang w:eastAsia="zh-CN"/>
              </w:rPr>
              <w:t>的</w:t>
            </w:r>
            <w:r>
              <w:rPr>
                <w:rFonts w:hint="eastAsia"/>
                <w:color w:val="auto"/>
                <w:sz w:val="28"/>
                <w:szCs w:val="28"/>
              </w:rPr>
              <w:t>产品</w:t>
            </w:r>
            <w:r>
              <w:rPr>
                <w:rFonts w:hint="eastAsia"/>
                <w:color w:val="auto"/>
                <w:sz w:val="28"/>
                <w:szCs w:val="28"/>
                <w:lang w:eastAsia="zh-CN"/>
              </w:rPr>
              <w:t>及</w:t>
            </w:r>
            <w:r>
              <w:rPr>
                <w:rFonts w:hint="eastAsia"/>
                <w:color w:val="auto"/>
                <w:sz w:val="28"/>
                <w:szCs w:val="28"/>
              </w:rPr>
              <w:t>技术</w:t>
            </w:r>
            <w:r>
              <w:rPr>
                <w:rFonts w:hint="eastAsia"/>
                <w:color w:val="auto"/>
                <w:sz w:val="24"/>
                <w:szCs w:val="24"/>
              </w:rPr>
              <w:t>（中、英文）</w:t>
            </w:r>
          </w:p>
          <w:p w14:paraId="2FA1DF2F">
            <w:pPr>
              <w:rPr>
                <w:color w:val="auto"/>
                <w:sz w:val="28"/>
                <w:szCs w:val="28"/>
              </w:rPr>
            </w:pPr>
            <w:r>
              <w:rPr>
                <w:rFonts w:hint="eastAsia"/>
                <w:color w:val="auto"/>
                <w:sz w:val="18"/>
                <w:szCs w:val="18"/>
                <w:lang w:val="en-US" w:eastAsia="zh-CN"/>
              </w:rPr>
              <w:t>(</w:t>
            </w:r>
            <w:r>
              <w:rPr>
                <w:rFonts w:hint="eastAsia"/>
                <w:color w:val="auto"/>
                <w:sz w:val="18"/>
                <w:szCs w:val="18"/>
                <w:lang w:eastAsia="zh-CN"/>
              </w:rPr>
              <w:t>请附上中英产品介绍</w:t>
            </w:r>
            <w:r>
              <w:rPr>
                <w:rFonts w:hint="eastAsia"/>
                <w:color w:val="auto"/>
                <w:sz w:val="18"/>
                <w:szCs w:val="18"/>
                <w:lang w:val="en-US" w:eastAsia="zh-CN"/>
              </w:rPr>
              <w:t>+图片</w:t>
            </w:r>
            <w:r>
              <w:rPr>
                <w:rFonts w:hint="eastAsia"/>
                <w:color w:val="auto"/>
                <w:sz w:val="18"/>
                <w:szCs w:val="18"/>
                <w:lang w:eastAsia="zh-CN"/>
              </w:rPr>
              <w:t>）</w:t>
            </w: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14:paraId="10BA4867">
            <w:pPr>
              <w:rPr>
                <w:color w:val="auto"/>
                <w:sz w:val="28"/>
                <w:szCs w:val="28"/>
              </w:rPr>
            </w:pPr>
          </w:p>
        </w:tc>
      </w:tr>
      <w:tr w14:paraId="1E46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tcBorders>
              <w:top w:val="single" w:color="auto" w:sz="4" w:space="0"/>
              <w:left w:val="single" w:color="auto" w:sz="4" w:space="0"/>
              <w:bottom w:val="single" w:color="auto" w:sz="4" w:space="0"/>
              <w:right w:val="single" w:color="auto" w:sz="4" w:space="0"/>
            </w:tcBorders>
            <w:noWrap w:val="0"/>
            <w:vAlign w:val="center"/>
          </w:tcPr>
          <w:p w14:paraId="4A3065C1">
            <w:pPr>
              <w:ind w:firstLine="280" w:firstLineChars="100"/>
              <w:jc w:val="both"/>
              <w:rPr>
                <w:rFonts w:hint="eastAsia"/>
                <w:color w:val="auto"/>
                <w:sz w:val="28"/>
                <w:szCs w:val="28"/>
              </w:rPr>
            </w:pPr>
            <w:r>
              <w:rPr>
                <w:rFonts w:hint="eastAsia"/>
                <w:color w:val="auto"/>
                <w:sz w:val="28"/>
                <w:szCs w:val="28"/>
              </w:rPr>
              <w:t>希望见到</w:t>
            </w:r>
            <w:r>
              <w:rPr>
                <w:rFonts w:hint="eastAsia"/>
                <w:color w:val="auto"/>
                <w:sz w:val="28"/>
                <w:szCs w:val="28"/>
                <w:lang w:eastAsia="zh-CN"/>
              </w:rPr>
              <w:t>的</w:t>
            </w:r>
            <w:r>
              <w:rPr>
                <w:rFonts w:hint="eastAsia"/>
                <w:color w:val="auto"/>
                <w:sz w:val="28"/>
                <w:szCs w:val="28"/>
              </w:rPr>
              <w:t>专业</w:t>
            </w:r>
          </w:p>
          <w:p w14:paraId="142927A8">
            <w:pPr>
              <w:jc w:val="center"/>
              <w:rPr>
                <w:color w:val="auto"/>
                <w:sz w:val="28"/>
                <w:szCs w:val="28"/>
              </w:rPr>
            </w:pPr>
            <w:r>
              <w:rPr>
                <w:rFonts w:hint="eastAsia"/>
                <w:color w:val="auto"/>
                <w:sz w:val="28"/>
                <w:szCs w:val="28"/>
              </w:rPr>
              <w:t>观众类型</w:t>
            </w: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14:paraId="7BE033E1">
            <w:pPr>
              <w:rPr>
                <w:rFonts w:hint="eastAsia" w:eastAsia="宋体"/>
                <w:color w:val="auto"/>
                <w:sz w:val="28"/>
                <w:szCs w:val="28"/>
                <w:lang w:eastAsia="zh-CN"/>
              </w:rPr>
            </w:pPr>
          </w:p>
        </w:tc>
      </w:tr>
      <w:tr w14:paraId="2A96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tcBorders>
              <w:top w:val="single" w:color="auto" w:sz="4" w:space="0"/>
              <w:left w:val="single" w:color="auto" w:sz="4" w:space="0"/>
              <w:bottom w:val="single" w:color="auto" w:sz="4" w:space="0"/>
              <w:right w:val="single" w:color="auto" w:sz="4" w:space="0"/>
            </w:tcBorders>
            <w:noWrap w:val="0"/>
            <w:vAlign w:val="top"/>
          </w:tcPr>
          <w:p w14:paraId="2DDE12DB">
            <w:pPr>
              <w:rPr>
                <w:rFonts w:hint="eastAsia"/>
                <w:color w:val="auto"/>
                <w:sz w:val="28"/>
                <w:szCs w:val="28"/>
                <w:lang w:eastAsia="zh-CN"/>
              </w:rPr>
            </w:pPr>
            <w:r>
              <w:rPr>
                <w:rFonts w:hint="eastAsia"/>
                <w:color w:val="auto"/>
                <w:sz w:val="28"/>
                <w:szCs w:val="28"/>
              </w:rPr>
              <w:t>希望见到的</w:t>
            </w:r>
            <w:r>
              <w:rPr>
                <w:rFonts w:hint="eastAsia"/>
                <w:color w:val="auto"/>
                <w:sz w:val="28"/>
                <w:szCs w:val="28"/>
                <w:lang w:eastAsia="zh-CN"/>
              </w:rPr>
              <w:t>未建立合作新企业名称</w:t>
            </w:r>
          </w:p>
          <w:p w14:paraId="17BABDDB">
            <w:pPr>
              <w:rPr>
                <w:color w:val="auto"/>
                <w:sz w:val="28"/>
                <w:szCs w:val="28"/>
              </w:rPr>
            </w:pPr>
            <w:r>
              <w:rPr>
                <w:rFonts w:hint="eastAsia"/>
                <w:color w:val="auto"/>
                <w:sz w:val="18"/>
                <w:szCs w:val="18"/>
                <w:lang w:val="en-US" w:eastAsia="zh-CN"/>
              </w:rPr>
              <w:t>(具体公司名称列举)</w:t>
            </w:r>
          </w:p>
        </w:tc>
        <w:tc>
          <w:tcPr>
            <w:tcW w:w="7370" w:type="dxa"/>
            <w:gridSpan w:val="4"/>
            <w:tcBorders>
              <w:top w:val="single" w:color="auto" w:sz="4" w:space="0"/>
              <w:left w:val="single" w:color="auto" w:sz="4" w:space="0"/>
              <w:bottom w:val="single" w:color="auto" w:sz="4" w:space="0"/>
              <w:right w:val="single" w:color="auto" w:sz="4" w:space="0"/>
            </w:tcBorders>
            <w:noWrap w:val="0"/>
            <w:vAlign w:val="top"/>
          </w:tcPr>
          <w:p w14:paraId="239F9FCB">
            <w:pPr>
              <w:rPr>
                <w:color w:val="auto"/>
                <w:sz w:val="28"/>
                <w:szCs w:val="28"/>
              </w:rPr>
            </w:pPr>
          </w:p>
        </w:tc>
      </w:tr>
      <w:tr w14:paraId="3A3B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555" w:type="dxa"/>
            <w:vMerge w:val="restart"/>
            <w:tcBorders>
              <w:top w:val="single" w:color="auto" w:sz="4" w:space="0"/>
              <w:left w:val="single" w:color="auto" w:sz="4" w:space="0"/>
              <w:right w:val="single" w:color="auto" w:sz="4" w:space="0"/>
            </w:tcBorders>
            <w:noWrap w:val="0"/>
            <w:vAlign w:val="center"/>
          </w:tcPr>
          <w:p w14:paraId="77FE7339">
            <w:pPr>
              <w:jc w:val="left"/>
              <w:rPr>
                <w:rFonts w:hint="eastAsia" w:eastAsia="宋体"/>
                <w:color w:val="auto"/>
                <w:sz w:val="28"/>
                <w:szCs w:val="28"/>
                <w:lang w:eastAsia="zh-CN"/>
              </w:rPr>
            </w:pPr>
            <w:r>
              <w:rPr>
                <w:rFonts w:hint="eastAsia"/>
                <w:color w:val="auto"/>
                <w:sz w:val="28"/>
                <w:szCs w:val="28"/>
                <w:lang w:eastAsia="zh-CN"/>
              </w:rPr>
              <w:t>希望见到的已建立合作关系的企业名称</w:t>
            </w:r>
          </w:p>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14:paraId="59B09A5F">
            <w:pPr>
              <w:rPr>
                <w:rFonts w:hint="eastAsia" w:eastAsia="宋体"/>
                <w:color w:val="auto"/>
                <w:sz w:val="28"/>
                <w:szCs w:val="28"/>
                <w:lang w:eastAsia="zh-CN"/>
              </w:rPr>
            </w:pPr>
            <w:r>
              <w:rPr>
                <w:rFonts w:hint="eastAsia"/>
                <w:color w:val="auto"/>
                <w:sz w:val="28"/>
                <w:szCs w:val="28"/>
                <w:lang w:eastAsia="zh-CN"/>
              </w:rPr>
              <w:t>公司名称</w:t>
            </w:r>
          </w:p>
        </w:tc>
        <w:tc>
          <w:tcPr>
            <w:tcW w:w="2456" w:type="dxa"/>
            <w:tcBorders>
              <w:top w:val="single" w:color="auto" w:sz="4" w:space="0"/>
              <w:left w:val="single" w:color="auto" w:sz="4" w:space="0"/>
              <w:bottom w:val="single" w:color="auto" w:sz="4" w:space="0"/>
              <w:right w:val="single" w:color="auto" w:sz="4" w:space="0"/>
            </w:tcBorders>
            <w:noWrap w:val="0"/>
            <w:vAlign w:val="top"/>
          </w:tcPr>
          <w:p w14:paraId="2ABAE3E4">
            <w:pPr>
              <w:rPr>
                <w:rFonts w:hint="eastAsia" w:eastAsia="宋体"/>
                <w:color w:val="auto"/>
                <w:sz w:val="28"/>
                <w:szCs w:val="28"/>
                <w:lang w:eastAsia="zh-CN"/>
              </w:rPr>
            </w:pPr>
            <w:r>
              <w:rPr>
                <w:rFonts w:hint="eastAsia"/>
                <w:color w:val="auto"/>
                <w:sz w:val="28"/>
                <w:szCs w:val="28"/>
                <w:lang w:eastAsia="zh-CN"/>
              </w:rPr>
              <w:t>联系人</w:t>
            </w:r>
          </w:p>
        </w:tc>
        <w:tc>
          <w:tcPr>
            <w:tcW w:w="2458" w:type="dxa"/>
            <w:tcBorders>
              <w:top w:val="single" w:color="auto" w:sz="4" w:space="0"/>
              <w:left w:val="single" w:color="auto" w:sz="4" w:space="0"/>
              <w:bottom w:val="single" w:color="auto" w:sz="4" w:space="0"/>
              <w:right w:val="single" w:color="auto" w:sz="4" w:space="0"/>
            </w:tcBorders>
            <w:noWrap w:val="0"/>
            <w:vAlign w:val="top"/>
          </w:tcPr>
          <w:p w14:paraId="38F93F15">
            <w:pPr>
              <w:rPr>
                <w:rFonts w:hint="eastAsia" w:eastAsia="宋体"/>
                <w:color w:val="auto"/>
                <w:sz w:val="28"/>
                <w:szCs w:val="28"/>
                <w:lang w:eastAsia="zh-CN"/>
              </w:rPr>
            </w:pPr>
            <w:r>
              <w:rPr>
                <w:rFonts w:hint="eastAsia"/>
                <w:color w:val="auto"/>
                <w:sz w:val="28"/>
                <w:szCs w:val="28"/>
                <w:lang w:eastAsia="zh-CN"/>
              </w:rPr>
              <w:t>联系方式</w:t>
            </w:r>
          </w:p>
        </w:tc>
      </w:tr>
      <w:tr w14:paraId="0B94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555" w:type="dxa"/>
            <w:vMerge w:val="continue"/>
            <w:tcBorders>
              <w:left w:val="single" w:color="auto" w:sz="4" w:space="0"/>
              <w:right w:val="single" w:color="auto" w:sz="4" w:space="0"/>
            </w:tcBorders>
            <w:noWrap w:val="0"/>
            <w:vAlign w:val="top"/>
          </w:tcPr>
          <w:p w14:paraId="429428FA"/>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14:paraId="2493D833"/>
        </w:tc>
        <w:tc>
          <w:tcPr>
            <w:tcW w:w="2456" w:type="dxa"/>
            <w:tcBorders>
              <w:top w:val="single" w:color="auto" w:sz="4" w:space="0"/>
              <w:left w:val="single" w:color="auto" w:sz="4" w:space="0"/>
              <w:bottom w:val="single" w:color="auto" w:sz="4" w:space="0"/>
              <w:right w:val="single" w:color="auto" w:sz="4" w:space="0"/>
            </w:tcBorders>
            <w:noWrap w:val="0"/>
            <w:vAlign w:val="top"/>
          </w:tcPr>
          <w:p w14:paraId="7B4A3BB6"/>
        </w:tc>
        <w:tc>
          <w:tcPr>
            <w:tcW w:w="2458" w:type="dxa"/>
            <w:tcBorders>
              <w:top w:val="single" w:color="auto" w:sz="4" w:space="0"/>
              <w:left w:val="single" w:color="auto" w:sz="4" w:space="0"/>
              <w:bottom w:val="single" w:color="auto" w:sz="4" w:space="0"/>
              <w:right w:val="single" w:color="auto" w:sz="4" w:space="0"/>
            </w:tcBorders>
            <w:noWrap w:val="0"/>
            <w:vAlign w:val="top"/>
          </w:tcPr>
          <w:p w14:paraId="649BC695">
            <w:pPr>
              <w:rPr>
                <w:color w:val="auto"/>
                <w:sz w:val="28"/>
                <w:szCs w:val="28"/>
              </w:rPr>
            </w:pPr>
          </w:p>
        </w:tc>
      </w:tr>
      <w:tr w14:paraId="1D25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555" w:type="dxa"/>
            <w:vMerge w:val="continue"/>
            <w:tcBorders>
              <w:left w:val="single" w:color="auto" w:sz="4" w:space="0"/>
              <w:right w:val="single" w:color="auto" w:sz="4" w:space="0"/>
            </w:tcBorders>
            <w:noWrap w:val="0"/>
            <w:vAlign w:val="top"/>
          </w:tcPr>
          <w:p w14:paraId="01BA6568">
            <w:pPr>
              <w:rPr>
                <w:color w:val="auto"/>
                <w:sz w:val="28"/>
                <w:szCs w:val="28"/>
              </w:rPr>
            </w:pPr>
          </w:p>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14:paraId="43F8A566">
            <w:pPr>
              <w:rPr>
                <w:color w:val="auto"/>
                <w:sz w:val="28"/>
                <w:szCs w:val="28"/>
              </w:rPr>
            </w:pPr>
          </w:p>
        </w:tc>
        <w:tc>
          <w:tcPr>
            <w:tcW w:w="2456" w:type="dxa"/>
            <w:tcBorders>
              <w:top w:val="single" w:color="auto" w:sz="4" w:space="0"/>
              <w:left w:val="single" w:color="auto" w:sz="4" w:space="0"/>
              <w:bottom w:val="single" w:color="auto" w:sz="4" w:space="0"/>
              <w:right w:val="single" w:color="auto" w:sz="4" w:space="0"/>
            </w:tcBorders>
            <w:noWrap w:val="0"/>
            <w:vAlign w:val="top"/>
          </w:tcPr>
          <w:p w14:paraId="61D2CC43">
            <w:pPr>
              <w:rPr>
                <w:color w:val="auto"/>
                <w:sz w:val="28"/>
                <w:szCs w:val="28"/>
              </w:rPr>
            </w:pPr>
          </w:p>
        </w:tc>
        <w:tc>
          <w:tcPr>
            <w:tcW w:w="2458" w:type="dxa"/>
            <w:tcBorders>
              <w:top w:val="single" w:color="auto" w:sz="4" w:space="0"/>
              <w:left w:val="single" w:color="auto" w:sz="4" w:space="0"/>
              <w:bottom w:val="single" w:color="auto" w:sz="4" w:space="0"/>
              <w:right w:val="single" w:color="auto" w:sz="4" w:space="0"/>
            </w:tcBorders>
            <w:noWrap w:val="0"/>
            <w:vAlign w:val="top"/>
          </w:tcPr>
          <w:p w14:paraId="1D5F2924">
            <w:pPr>
              <w:rPr>
                <w:color w:val="auto"/>
                <w:sz w:val="28"/>
                <w:szCs w:val="28"/>
              </w:rPr>
            </w:pPr>
          </w:p>
        </w:tc>
      </w:tr>
      <w:tr w14:paraId="08E9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555" w:type="dxa"/>
            <w:vMerge w:val="continue"/>
            <w:tcBorders>
              <w:left w:val="single" w:color="auto" w:sz="4" w:space="0"/>
              <w:right w:val="single" w:color="auto" w:sz="4" w:space="0"/>
            </w:tcBorders>
            <w:noWrap w:val="0"/>
            <w:vAlign w:val="top"/>
          </w:tcPr>
          <w:p w14:paraId="176440B1">
            <w:pPr>
              <w:rPr>
                <w:color w:val="auto"/>
                <w:sz w:val="28"/>
                <w:szCs w:val="28"/>
              </w:rPr>
            </w:pPr>
          </w:p>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14:paraId="281FC2B3">
            <w:pPr>
              <w:rPr>
                <w:color w:val="auto"/>
                <w:sz w:val="28"/>
                <w:szCs w:val="28"/>
              </w:rPr>
            </w:pPr>
          </w:p>
        </w:tc>
        <w:tc>
          <w:tcPr>
            <w:tcW w:w="2456" w:type="dxa"/>
            <w:tcBorders>
              <w:top w:val="single" w:color="auto" w:sz="4" w:space="0"/>
              <w:left w:val="single" w:color="auto" w:sz="4" w:space="0"/>
              <w:bottom w:val="single" w:color="auto" w:sz="4" w:space="0"/>
              <w:right w:val="single" w:color="auto" w:sz="4" w:space="0"/>
            </w:tcBorders>
            <w:noWrap w:val="0"/>
            <w:vAlign w:val="top"/>
          </w:tcPr>
          <w:p w14:paraId="0A0DBF6E">
            <w:pPr>
              <w:rPr>
                <w:color w:val="auto"/>
                <w:sz w:val="28"/>
                <w:szCs w:val="28"/>
              </w:rPr>
            </w:pPr>
          </w:p>
        </w:tc>
        <w:tc>
          <w:tcPr>
            <w:tcW w:w="2458" w:type="dxa"/>
            <w:tcBorders>
              <w:top w:val="single" w:color="auto" w:sz="4" w:space="0"/>
              <w:left w:val="single" w:color="auto" w:sz="4" w:space="0"/>
              <w:bottom w:val="single" w:color="auto" w:sz="4" w:space="0"/>
              <w:right w:val="single" w:color="auto" w:sz="4" w:space="0"/>
            </w:tcBorders>
            <w:noWrap w:val="0"/>
            <w:vAlign w:val="top"/>
          </w:tcPr>
          <w:p w14:paraId="3BEC1F26">
            <w:pPr>
              <w:rPr>
                <w:color w:val="auto"/>
                <w:sz w:val="28"/>
                <w:szCs w:val="28"/>
              </w:rPr>
            </w:pPr>
          </w:p>
        </w:tc>
      </w:tr>
      <w:tr w14:paraId="75D3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55" w:type="dxa"/>
            <w:vMerge w:val="continue"/>
            <w:tcBorders>
              <w:left w:val="single" w:color="auto" w:sz="4" w:space="0"/>
              <w:bottom w:val="single" w:color="auto" w:sz="4" w:space="0"/>
              <w:right w:val="single" w:color="auto" w:sz="4" w:space="0"/>
            </w:tcBorders>
            <w:noWrap w:val="0"/>
            <w:vAlign w:val="top"/>
          </w:tcPr>
          <w:p w14:paraId="151A610C">
            <w:pPr>
              <w:rPr>
                <w:color w:val="auto"/>
                <w:sz w:val="28"/>
                <w:szCs w:val="28"/>
              </w:rPr>
            </w:pPr>
          </w:p>
        </w:tc>
        <w:tc>
          <w:tcPr>
            <w:tcW w:w="2456" w:type="dxa"/>
            <w:gridSpan w:val="2"/>
            <w:tcBorders>
              <w:top w:val="single" w:color="auto" w:sz="4" w:space="0"/>
              <w:left w:val="single" w:color="auto" w:sz="4" w:space="0"/>
              <w:bottom w:val="single" w:color="auto" w:sz="4" w:space="0"/>
              <w:right w:val="single" w:color="auto" w:sz="4" w:space="0"/>
            </w:tcBorders>
            <w:noWrap w:val="0"/>
            <w:vAlign w:val="top"/>
          </w:tcPr>
          <w:p w14:paraId="54023FCA">
            <w:pPr>
              <w:rPr>
                <w:color w:val="auto"/>
                <w:sz w:val="28"/>
                <w:szCs w:val="28"/>
              </w:rPr>
            </w:pPr>
          </w:p>
        </w:tc>
        <w:tc>
          <w:tcPr>
            <w:tcW w:w="2456" w:type="dxa"/>
            <w:tcBorders>
              <w:top w:val="single" w:color="auto" w:sz="4" w:space="0"/>
              <w:left w:val="single" w:color="auto" w:sz="4" w:space="0"/>
              <w:bottom w:val="single" w:color="auto" w:sz="4" w:space="0"/>
              <w:right w:val="single" w:color="auto" w:sz="4" w:space="0"/>
            </w:tcBorders>
            <w:noWrap w:val="0"/>
            <w:vAlign w:val="top"/>
          </w:tcPr>
          <w:p w14:paraId="5A00C88C">
            <w:pPr>
              <w:rPr>
                <w:color w:val="auto"/>
                <w:sz w:val="28"/>
                <w:szCs w:val="28"/>
              </w:rPr>
            </w:pPr>
          </w:p>
        </w:tc>
        <w:tc>
          <w:tcPr>
            <w:tcW w:w="2458" w:type="dxa"/>
            <w:tcBorders>
              <w:top w:val="single" w:color="auto" w:sz="4" w:space="0"/>
              <w:left w:val="single" w:color="auto" w:sz="4" w:space="0"/>
              <w:bottom w:val="single" w:color="auto" w:sz="4" w:space="0"/>
              <w:right w:val="single" w:color="auto" w:sz="4" w:space="0"/>
            </w:tcBorders>
            <w:noWrap w:val="0"/>
            <w:vAlign w:val="top"/>
          </w:tcPr>
          <w:p w14:paraId="00652A3B">
            <w:pPr>
              <w:rPr>
                <w:color w:val="auto"/>
                <w:sz w:val="28"/>
                <w:szCs w:val="28"/>
              </w:rPr>
            </w:pPr>
          </w:p>
        </w:tc>
      </w:tr>
    </w:tbl>
    <w:p w14:paraId="16DC4C9A"/>
    <w:p w14:paraId="4D96183B">
      <w:pPr>
        <w:spacing w:line="360" w:lineRule="exact"/>
      </w:pPr>
      <w:r>
        <w:rPr>
          <w:rFonts w:hint="eastAsia" w:asciiTheme="minorEastAsia" w:hAnsiTheme="minorEastAsia" w:eastAsiaTheme="minorEastAsia" w:cstheme="minorEastAsia"/>
          <w:szCs w:val="21"/>
        </w:rPr>
        <w:t xml:space="preserve">       </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书宋简体">
    <w:altName w:val="宋体"/>
    <w:panose1 w:val="02010601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BA255"/>
    <w:multiLevelType w:val="singleLevel"/>
    <w:tmpl w:val="CADBA255"/>
    <w:lvl w:ilvl="0" w:tentative="0">
      <w:start w:val="1"/>
      <w:numFmt w:val="decimal"/>
      <w:lvlText w:val="%1."/>
      <w:lvlJc w:val="left"/>
      <w:pPr>
        <w:tabs>
          <w:tab w:val="left" w:pos="340"/>
        </w:tabs>
        <w:ind w:left="340" w:hanging="340"/>
      </w:pPr>
      <w:rPr>
        <w:rFonts w:hint="default"/>
      </w:rPr>
    </w:lvl>
  </w:abstractNum>
  <w:abstractNum w:abstractNumId="1">
    <w:nsid w:val="D99C1156"/>
    <w:multiLevelType w:val="singleLevel"/>
    <w:tmpl w:val="D99C1156"/>
    <w:lvl w:ilvl="0" w:tentative="0">
      <w:start w:val="1"/>
      <w:numFmt w:val="bullet"/>
      <w:lvlText w:val=""/>
      <w:lvlJc w:val="left"/>
      <w:pPr>
        <w:ind w:left="420" w:hanging="420"/>
      </w:pPr>
      <w:rPr>
        <w:rFonts w:hint="default" w:ascii="Wingdings" w:hAnsi="Wingdings"/>
      </w:rPr>
    </w:lvl>
  </w:abstractNum>
  <w:abstractNum w:abstractNumId="2">
    <w:nsid w:val="05EB5EC6"/>
    <w:multiLevelType w:val="singleLevel"/>
    <w:tmpl w:val="05EB5EC6"/>
    <w:lvl w:ilvl="0" w:tentative="0">
      <w:start w:val="5"/>
      <w:numFmt w:val="upperLetter"/>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wZjEyZGQyOWJkZTU3ZjQ1YWQ1OTBmMmNhODdkZTIifQ=="/>
  </w:docVars>
  <w:rsids>
    <w:rsidRoot w:val="74C95135"/>
    <w:rsid w:val="00192989"/>
    <w:rsid w:val="00333C4A"/>
    <w:rsid w:val="003C6F61"/>
    <w:rsid w:val="00426A2E"/>
    <w:rsid w:val="004672B9"/>
    <w:rsid w:val="00482FBF"/>
    <w:rsid w:val="00681B68"/>
    <w:rsid w:val="006F0531"/>
    <w:rsid w:val="00721EA5"/>
    <w:rsid w:val="00753807"/>
    <w:rsid w:val="00757853"/>
    <w:rsid w:val="00841D88"/>
    <w:rsid w:val="00857BB5"/>
    <w:rsid w:val="0089300C"/>
    <w:rsid w:val="00927472"/>
    <w:rsid w:val="009C17BB"/>
    <w:rsid w:val="00A6115E"/>
    <w:rsid w:val="00B707F6"/>
    <w:rsid w:val="00B72BA9"/>
    <w:rsid w:val="00C33651"/>
    <w:rsid w:val="00C34EB2"/>
    <w:rsid w:val="00CB1EB4"/>
    <w:rsid w:val="00D15D18"/>
    <w:rsid w:val="00F62FAF"/>
    <w:rsid w:val="00FA5180"/>
    <w:rsid w:val="00FE47AA"/>
    <w:rsid w:val="01802C9E"/>
    <w:rsid w:val="019D73AC"/>
    <w:rsid w:val="020E6BA6"/>
    <w:rsid w:val="03D1765C"/>
    <w:rsid w:val="08071A24"/>
    <w:rsid w:val="08DE69B1"/>
    <w:rsid w:val="090B5543"/>
    <w:rsid w:val="09DF42DA"/>
    <w:rsid w:val="0A9A0A9B"/>
    <w:rsid w:val="0BFC1FF7"/>
    <w:rsid w:val="0C1F06DF"/>
    <w:rsid w:val="0E700780"/>
    <w:rsid w:val="0F16079E"/>
    <w:rsid w:val="127777A6"/>
    <w:rsid w:val="14AF76CB"/>
    <w:rsid w:val="1881137E"/>
    <w:rsid w:val="18EB0ED0"/>
    <w:rsid w:val="18F7519C"/>
    <w:rsid w:val="1AA2382E"/>
    <w:rsid w:val="1C3668D8"/>
    <w:rsid w:val="1C83517F"/>
    <w:rsid w:val="1C894A0D"/>
    <w:rsid w:val="1D3C5874"/>
    <w:rsid w:val="20404C5A"/>
    <w:rsid w:val="20CC33B3"/>
    <w:rsid w:val="22361730"/>
    <w:rsid w:val="229037AB"/>
    <w:rsid w:val="239B30C1"/>
    <w:rsid w:val="280A4B32"/>
    <w:rsid w:val="2BA656C9"/>
    <w:rsid w:val="2BD6074F"/>
    <w:rsid w:val="2BDF21EC"/>
    <w:rsid w:val="2C3C60A9"/>
    <w:rsid w:val="2EEE0998"/>
    <w:rsid w:val="2FA774C5"/>
    <w:rsid w:val="304E7940"/>
    <w:rsid w:val="31EC5663"/>
    <w:rsid w:val="34394463"/>
    <w:rsid w:val="34425A0E"/>
    <w:rsid w:val="355552CD"/>
    <w:rsid w:val="37DC60C0"/>
    <w:rsid w:val="38AB2599"/>
    <w:rsid w:val="38D8249D"/>
    <w:rsid w:val="3A0948D8"/>
    <w:rsid w:val="3A465B2C"/>
    <w:rsid w:val="3EA021CF"/>
    <w:rsid w:val="40F155F8"/>
    <w:rsid w:val="45227235"/>
    <w:rsid w:val="463B290F"/>
    <w:rsid w:val="46F30DEA"/>
    <w:rsid w:val="498A6902"/>
    <w:rsid w:val="4B427C4A"/>
    <w:rsid w:val="4BC27AA2"/>
    <w:rsid w:val="4DA1334D"/>
    <w:rsid w:val="4E374775"/>
    <w:rsid w:val="4F610FE6"/>
    <w:rsid w:val="506E0191"/>
    <w:rsid w:val="52D01BE3"/>
    <w:rsid w:val="53610C4F"/>
    <w:rsid w:val="57DB745C"/>
    <w:rsid w:val="58773629"/>
    <w:rsid w:val="58E73747"/>
    <w:rsid w:val="59017307"/>
    <w:rsid w:val="597E7F60"/>
    <w:rsid w:val="598826B3"/>
    <w:rsid w:val="5A981634"/>
    <w:rsid w:val="5BF8274D"/>
    <w:rsid w:val="5D1A6C78"/>
    <w:rsid w:val="5D947479"/>
    <w:rsid w:val="5DF474C9"/>
    <w:rsid w:val="5EC073AC"/>
    <w:rsid w:val="5EE82CC3"/>
    <w:rsid w:val="5F675AEC"/>
    <w:rsid w:val="61C176C2"/>
    <w:rsid w:val="61DB4C28"/>
    <w:rsid w:val="63D31681"/>
    <w:rsid w:val="655B2975"/>
    <w:rsid w:val="663B67EC"/>
    <w:rsid w:val="689302B1"/>
    <w:rsid w:val="68DB3760"/>
    <w:rsid w:val="6A5A06B4"/>
    <w:rsid w:val="6B34522A"/>
    <w:rsid w:val="6BD05342"/>
    <w:rsid w:val="6C1D408F"/>
    <w:rsid w:val="6CD53470"/>
    <w:rsid w:val="6CF30053"/>
    <w:rsid w:val="6D8141AA"/>
    <w:rsid w:val="6F0223F6"/>
    <w:rsid w:val="714A76D4"/>
    <w:rsid w:val="73C3376E"/>
    <w:rsid w:val="745A5E80"/>
    <w:rsid w:val="74940C67"/>
    <w:rsid w:val="74C95135"/>
    <w:rsid w:val="74DB6FC6"/>
    <w:rsid w:val="763D3933"/>
    <w:rsid w:val="7829772A"/>
    <w:rsid w:val="78680440"/>
    <w:rsid w:val="795409C4"/>
    <w:rsid w:val="79A42B6C"/>
    <w:rsid w:val="7C4A4A2C"/>
    <w:rsid w:val="7CA7603C"/>
    <w:rsid w:val="7D1F7C67"/>
    <w:rsid w:val="7D6C2781"/>
    <w:rsid w:val="7E3C4C3F"/>
    <w:rsid w:val="7F390D88"/>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autoRedefine/>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semiHidden/>
    <w:unhideWhenUsed/>
    <w:qFormat/>
    <w:uiPriority w:val="99"/>
    <w:pPr>
      <w:ind w:firstLine="420" w:firstLineChars="100"/>
    </w:pPr>
  </w:style>
  <w:style w:type="paragraph" w:styleId="3">
    <w:name w:val="Body Text"/>
    <w:basedOn w:val="1"/>
    <w:autoRedefine/>
    <w:qFormat/>
    <w:uiPriority w:val="0"/>
    <w:rPr>
      <w:rFonts w:eastAsia="黑体"/>
      <w:sz w:val="28"/>
      <w:szCs w:val="20"/>
    </w:rPr>
  </w:style>
  <w:style w:type="paragraph" w:styleId="4">
    <w:name w:val="Body Text Indent"/>
    <w:basedOn w:val="1"/>
    <w:qFormat/>
    <w:uiPriority w:val="0"/>
    <w:pPr>
      <w:spacing w:line="500" w:lineRule="exact"/>
      <w:ind w:firstLine="480"/>
    </w:pPr>
    <w:rPr>
      <w:rFonts w:ascii="仿宋_GB2312" w:eastAsia="方正书宋简体"/>
      <w:szCs w:val="20"/>
    </w:rPr>
  </w:style>
  <w:style w:type="paragraph" w:styleId="5">
    <w:name w:val="Date"/>
    <w:basedOn w:val="1"/>
    <w:next w:val="1"/>
    <w:autoRedefine/>
    <w:qFormat/>
    <w:uiPriority w:val="0"/>
    <w:rPr>
      <w:rFonts w:ascii="仿宋_GB2312" w:eastAsia="仿宋_GB2312"/>
      <w:sz w:val="24"/>
      <w:szCs w:val="20"/>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Title"/>
    <w:basedOn w:val="1"/>
    <w:next w:val="1"/>
    <w:qFormat/>
    <w:uiPriority w:val="0"/>
    <w:pPr>
      <w:spacing w:before="240" w:after="60"/>
      <w:jc w:val="center"/>
      <w:outlineLvl w:val="0"/>
    </w:pPr>
    <w:rPr>
      <w:rFonts w:ascii="Cambria" w:hAnsi="Cambria"/>
      <w:b/>
      <w:bCs/>
      <w:sz w:val="32"/>
      <w:szCs w:val="32"/>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autoRedefine/>
    <w:qFormat/>
    <w:uiPriority w:val="0"/>
  </w:style>
  <w:style w:type="character" w:styleId="13">
    <w:name w:val="FollowedHyperlink"/>
    <w:basedOn w:val="11"/>
    <w:semiHidden/>
    <w:unhideWhenUsed/>
    <w:qFormat/>
    <w:uiPriority w:val="99"/>
    <w:rPr>
      <w:color w:val="800080"/>
      <w:u w:val="single"/>
    </w:rPr>
  </w:style>
  <w:style w:type="character" w:styleId="14">
    <w:name w:val="Hyperlink"/>
    <w:autoRedefine/>
    <w:unhideWhenUsed/>
    <w:qFormat/>
    <w:uiPriority w:val="99"/>
    <w:rPr>
      <w:color w:val="0000FF"/>
      <w:u w:val="single"/>
    </w:rPr>
  </w:style>
  <w:style w:type="paragraph" w:customStyle="1" w:styleId="15">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2919</Words>
  <Characters>3456</Characters>
  <Lines>35</Lines>
  <Paragraphs>10</Paragraphs>
  <TotalTime>13</TotalTime>
  <ScaleCrop>false</ScaleCrop>
  <LinksUpToDate>false</LinksUpToDate>
  <CharactersWithSpaces>4741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2021-12-08T01:31:00Z</dcterms:created>
  <dc:creator>Rainbow虹✨</dc:creator>
  <cp:lastModifiedBy>Administrator</cp:lastModifiedBy>
  <dcterms:modified xsi:type="dcterms:W3CDTF">2026-01-06T05:46:01Z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8D3EC7BBA679457489AA6C3B31A8B51D</vt:lpwstr>
  </property>
  <property fmtid="{D5CDD505-2E9C-101B-9397-08002B2CF9AE}" pid="4" name="KSOTemplateDocerSaveRecord">
    <vt:lpwstr>eyJoZGlkIjoiMjgwZjEyZGQyOWJkZTU3ZjQ1YWQ1OTBmMmNhODdkZTIiLCJ1c2VySWQiOiI1MDQ3NjY5ODkifQ==</vt:lpwstr>
  </property>
</Properties>
</file>